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BF86" w14:textId="2DD63655" w:rsidR="000A739A" w:rsidRPr="000A739A" w:rsidRDefault="000A739A" w:rsidP="00C33D25">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cs="Arial"/>
          <w:b/>
          <w:noProof/>
          <w:sz w:val="36"/>
          <w:szCs w:val="36"/>
          <w:lang w:eastAsia="en-GB"/>
        </w:rPr>
      </w:pPr>
      <w:r w:rsidRPr="000A739A">
        <w:rPr>
          <w:rFonts w:cs="Arial"/>
          <w:b/>
          <w:noProof/>
          <w:sz w:val="36"/>
          <w:szCs w:val="36"/>
          <w:lang w:eastAsia="en-GB"/>
        </w:rPr>
        <w:t>Mobberley C of E Primary School</w:t>
      </w:r>
    </w:p>
    <w:p w14:paraId="22773A93" w14:textId="5A3CF8B0" w:rsidR="00FE62E4" w:rsidRPr="000A739A" w:rsidRDefault="009C02A4" w:rsidP="00C33D25">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cs="Arial"/>
          <w:b/>
          <w:noProof/>
          <w:sz w:val="36"/>
          <w:szCs w:val="36"/>
          <w:lang w:eastAsia="en-GB"/>
        </w:rPr>
      </w:pPr>
      <w:r w:rsidRPr="000A739A">
        <w:rPr>
          <w:rFonts w:cs="Arial"/>
          <w:b/>
          <w:noProof/>
          <w:sz w:val="36"/>
          <w:szCs w:val="36"/>
          <w:lang w:eastAsia="en-GB"/>
        </w:rPr>
        <w:t>Catch-Up Premium</w:t>
      </w:r>
      <w:r w:rsidR="004029AD" w:rsidRPr="000A739A">
        <w:rPr>
          <w:rFonts w:cs="Arial"/>
          <w:b/>
          <w:noProof/>
          <w:sz w:val="36"/>
          <w:szCs w:val="36"/>
          <w:lang w:eastAsia="en-GB"/>
        </w:rPr>
        <w:t xml:space="preserve"> </w:t>
      </w:r>
      <w:r w:rsidR="00AF600C" w:rsidRPr="000A739A">
        <w:rPr>
          <w:rFonts w:cs="Arial"/>
          <w:b/>
          <w:noProof/>
          <w:sz w:val="36"/>
          <w:szCs w:val="36"/>
          <w:lang w:eastAsia="en-GB"/>
        </w:rPr>
        <w:t>Plan</w:t>
      </w:r>
    </w:p>
    <w:p w14:paraId="13CF0E6B" w14:textId="77777777" w:rsidR="00AF1662" w:rsidRPr="00AF1662" w:rsidRDefault="00AF1662" w:rsidP="00C33D25">
      <w:pPr>
        <w:pBdr>
          <w:top w:val="single" w:sz="4" w:space="1" w:color="auto"/>
          <w:left w:val="single" w:sz="4" w:space="4" w:color="auto"/>
          <w:bottom w:val="single" w:sz="4" w:space="1" w:color="auto"/>
          <w:right w:val="single" w:sz="4" w:space="4" w:color="auto"/>
        </w:pBdr>
        <w:shd w:val="clear" w:color="auto" w:fill="95B3D7" w:themeFill="accent1" w:themeFillTint="99"/>
        <w:spacing w:after="240"/>
        <w:rPr>
          <w:rFonts w:cs="Arial"/>
          <w:b/>
          <w:noProof/>
          <w:color w:val="FFFFFF" w:themeColor="background1"/>
          <w:sz w:val="12"/>
          <w:szCs w:val="12"/>
          <w:lang w:eastAsia="en-GB"/>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8B27BE" w14:paraId="55F6A36A" w14:textId="77777777" w:rsidTr="000A739A">
        <w:tc>
          <w:tcPr>
            <w:tcW w:w="15417" w:type="dxa"/>
            <w:gridSpan w:val="6"/>
            <w:shd w:val="clear" w:color="auto" w:fill="95B3D7" w:themeFill="accent1" w:themeFillTint="99"/>
            <w:tcMar>
              <w:top w:w="57" w:type="dxa"/>
              <w:bottom w:w="57" w:type="dxa"/>
            </w:tcMar>
          </w:tcPr>
          <w:p w14:paraId="2C33B013" w14:textId="0C47136C" w:rsidR="00C14FAE" w:rsidRPr="000079DF" w:rsidRDefault="00C14FAE" w:rsidP="002E7E2E">
            <w:pPr>
              <w:rPr>
                <w:rFonts w:cs="Arial"/>
                <w:b/>
                <w:color w:val="FFFFFF" w:themeColor="background1"/>
                <w:sz w:val="24"/>
                <w:szCs w:val="24"/>
              </w:rPr>
            </w:pPr>
            <w:r w:rsidRPr="000A739A">
              <w:rPr>
                <w:rFonts w:cs="Arial"/>
                <w:b/>
                <w:sz w:val="24"/>
                <w:szCs w:val="24"/>
              </w:rPr>
              <w:t>Summary information</w:t>
            </w:r>
          </w:p>
        </w:tc>
      </w:tr>
      <w:tr w:rsidR="00F25DF2" w:rsidRPr="008B27BE" w14:paraId="20189FD3" w14:textId="77777777" w:rsidTr="000A739A">
        <w:trPr>
          <w:trHeight w:val="326"/>
        </w:trPr>
        <w:tc>
          <w:tcPr>
            <w:tcW w:w="2660" w:type="dxa"/>
            <w:shd w:val="clear" w:color="auto" w:fill="95B3D7" w:themeFill="accent1" w:themeFillTint="99"/>
            <w:tcMar>
              <w:top w:w="57" w:type="dxa"/>
              <w:bottom w:w="57" w:type="dxa"/>
            </w:tcMar>
          </w:tcPr>
          <w:p w14:paraId="4C96EFF4" w14:textId="77777777" w:rsidR="00C14FAE" w:rsidRPr="008B27BE" w:rsidRDefault="00C14FAE" w:rsidP="005F2472">
            <w:pPr>
              <w:rPr>
                <w:rFonts w:cs="Arial"/>
                <w:b/>
              </w:rPr>
            </w:pPr>
            <w:r w:rsidRPr="008B27BE">
              <w:rPr>
                <w:rFonts w:cs="Arial"/>
                <w:b/>
              </w:rPr>
              <w:t>Academic Year</w:t>
            </w:r>
          </w:p>
        </w:tc>
        <w:tc>
          <w:tcPr>
            <w:tcW w:w="1276" w:type="dxa"/>
            <w:tcMar>
              <w:top w:w="57" w:type="dxa"/>
              <w:bottom w:w="57" w:type="dxa"/>
            </w:tcMar>
          </w:tcPr>
          <w:p w14:paraId="558034B6" w14:textId="1A12C045" w:rsidR="00C14FAE" w:rsidRPr="008B27BE" w:rsidRDefault="006A3DF2" w:rsidP="0021629B">
            <w:pPr>
              <w:rPr>
                <w:rFonts w:cs="Arial"/>
              </w:rPr>
            </w:pPr>
            <w:r w:rsidRPr="008B27BE">
              <w:rPr>
                <w:rFonts w:cs="Arial"/>
              </w:rPr>
              <w:t>20</w:t>
            </w:r>
            <w:r w:rsidR="009671C2">
              <w:rPr>
                <w:rFonts w:cs="Arial"/>
              </w:rPr>
              <w:t>20</w:t>
            </w:r>
            <w:r w:rsidRPr="008B27BE">
              <w:rPr>
                <w:rFonts w:cs="Arial"/>
              </w:rPr>
              <w:t>-2</w:t>
            </w:r>
            <w:r w:rsidR="009671C2">
              <w:rPr>
                <w:rFonts w:cs="Arial"/>
              </w:rPr>
              <w:t>1</w:t>
            </w:r>
          </w:p>
        </w:tc>
        <w:tc>
          <w:tcPr>
            <w:tcW w:w="3632" w:type="dxa"/>
            <w:shd w:val="clear" w:color="auto" w:fill="95B3D7" w:themeFill="accent1" w:themeFillTint="99"/>
          </w:tcPr>
          <w:p w14:paraId="3273187D" w14:textId="44EC450C" w:rsidR="00C14FAE" w:rsidRPr="008B27BE" w:rsidRDefault="00C14FAE" w:rsidP="005F2472">
            <w:pPr>
              <w:rPr>
                <w:rFonts w:cs="Arial"/>
                <w:highlight w:val="yellow"/>
              </w:rPr>
            </w:pPr>
            <w:r w:rsidRPr="008B27BE">
              <w:rPr>
                <w:rFonts w:cs="Arial"/>
                <w:b/>
              </w:rPr>
              <w:t xml:space="preserve">Total </w:t>
            </w:r>
            <w:r w:rsidR="00BC5536">
              <w:rPr>
                <w:rFonts w:cs="Arial"/>
                <w:b/>
              </w:rPr>
              <w:t xml:space="preserve">Catch-Up </w:t>
            </w:r>
            <w:r w:rsidR="0061262A">
              <w:rPr>
                <w:rFonts w:cs="Arial"/>
                <w:b/>
              </w:rPr>
              <w:t>Premium</w:t>
            </w:r>
          </w:p>
        </w:tc>
        <w:tc>
          <w:tcPr>
            <w:tcW w:w="1471" w:type="dxa"/>
          </w:tcPr>
          <w:p w14:paraId="047F3C3F" w14:textId="43C84821" w:rsidR="00C14FAE" w:rsidRPr="002E7E2E" w:rsidRDefault="00D13E3A" w:rsidP="00D51B67">
            <w:pPr>
              <w:rPr>
                <w:rFonts w:ascii="Calibri" w:hAnsi="Calibri" w:cs="Calibri"/>
                <w:color w:val="000000"/>
              </w:rPr>
            </w:pPr>
            <w:r>
              <w:rPr>
                <w:rFonts w:cs="Arial"/>
              </w:rPr>
              <w:t>£</w:t>
            </w:r>
            <w:r w:rsidR="006F09D7">
              <w:rPr>
                <w:rFonts w:cs="Arial"/>
              </w:rPr>
              <w:t>15,773</w:t>
            </w:r>
          </w:p>
        </w:tc>
        <w:tc>
          <w:tcPr>
            <w:tcW w:w="4819" w:type="dxa"/>
            <w:shd w:val="clear" w:color="auto" w:fill="95B3D7" w:themeFill="accent1" w:themeFillTint="99"/>
          </w:tcPr>
          <w:p w14:paraId="2036DF48" w14:textId="3AA9C7A7" w:rsidR="00C14FAE" w:rsidRPr="008B27BE" w:rsidRDefault="002E7E2E" w:rsidP="005F2472">
            <w:pPr>
              <w:rPr>
                <w:rFonts w:cs="Arial"/>
              </w:rPr>
            </w:pPr>
            <w:r>
              <w:rPr>
                <w:rFonts w:cs="Arial"/>
                <w:b/>
              </w:rPr>
              <w:t>Number of pupils</w:t>
            </w:r>
          </w:p>
        </w:tc>
        <w:tc>
          <w:tcPr>
            <w:tcW w:w="1559" w:type="dxa"/>
          </w:tcPr>
          <w:p w14:paraId="74208EF1" w14:textId="75F5BBED" w:rsidR="00C14FAE" w:rsidRPr="008B27BE" w:rsidRDefault="00C33D25">
            <w:pPr>
              <w:rPr>
                <w:rFonts w:cs="Arial"/>
              </w:rPr>
            </w:pPr>
            <w:r>
              <w:rPr>
                <w:rFonts w:cs="Arial"/>
              </w:rPr>
              <w:t>197</w:t>
            </w:r>
          </w:p>
        </w:tc>
      </w:tr>
    </w:tbl>
    <w:p w14:paraId="43394014" w14:textId="77777777" w:rsidR="00AF1662" w:rsidRDefault="00AF1662">
      <w:pPr>
        <w:rPr>
          <w:rFonts w:cs="Arial"/>
          <w:sz w:val="16"/>
          <w:szCs w:val="16"/>
        </w:rPr>
      </w:pPr>
    </w:p>
    <w:tbl>
      <w:tblPr>
        <w:tblStyle w:val="TableGrid"/>
        <w:tblW w:w="15412" w:type="dxa"/>
        <w:tblLayout w:type="fixed"/>
        <w:tblLook w:val="04A0" w:firstRow="1" w:lastRow="0" w:firstColumn="1" w:lastColumn="0" w:noHBand="0" w:noVBand="1"/>
      </w:tblPr>
      <w:tblGrid>
        <w:gridCol w:w="7706"/>
        <w:gridCol w:w="7706"/>
      </w:tblGrid>
      <w:tr w:rsidR="0024053C" w:rsidRPr="008B27BE" w14:paraId="39BAF2A6" w14:textId="2CC20C8E" w:rsidTr="000A739A">
        <w:trPr>
          <w:trHeight w:val="225"/>
        </w:trPr>
        <w:tc>
          <w:tcPr>
            <w:tcW w:w="15412" w:type="dxa"/>
            <w:gridSpan w:val="2"/>
            <w:shd w:val="clear" w:color="auto" w:fill="95B3D7" w:themeFill="accent1" w:themeFillTint="99"/>
            <w:tcMar>
              <w:top w:w="57" w:type="dxa"/>
              <w:bottom w:w="57" w:type="dxa"/>
            </w:tcMar>
          </w:tcPr>
          <w:p w14:paraId="2B68721D" w14:textId="07C9FDEB" w:rsidR="0024053C" w:rsidRPr="000079DF" w:rsidRDefault="0024053C" w:rsidP="007D0BE9">
            <w:pPr>
              <w:spacing w:after="120"/>
              <w:rPr>
                <w:color w:val="FFFFFF" w:themeColor="background1"/>
                <w:sz w:val="24"/>
                <w:szCs w:val="24"/>
              </w:rPr>
            </w:pPr>
            <w:r w:rsidRPr="000079DF">
              <w:rPr>
                <w:rFonts w:cs="Arial"/>
                <w:b/>
                <w:color w:val="FFFFFF" w:themeColor="background1"/>
                <w:sz w:val="24"/>
                <w:szCs w:val="24"/>
              </w:rPr>
              <w:t>Guidance</w:t>
            </w:r>
          </w:p>
        </w:tc>
      </w:tr>
      <w:tr w:rsidR="0024053C" w:rsidRPr="008B27BE" w14:paraId="3D4BDADC" w14:textId="3CB58343" w:rsidTr="009C500F">
        <w:trPr>
          <w:trHeight w:val="755"/>
        </w:trPr>
        <w:tc>
          <w:tcPr>
            <w:tcW w:w="15412" w:type="dxa"/>
            <w:gridSpan w:val="2"/>
            <w:tcMar>
              <w:top w:w="57" w:type="dxa"/>
              <w:bottom w:w="57" w:type="dxa"/>
            </w:tcMar>
          </w:tcPr>
          <w:p w14:paraId="782CA0E6" w14:textId="77777777" w:rsidR="0024053C" w:rsidRDefault="0024053C" w:rsidP="0024053C">
            <w:pPr>
              <w:rPr>
                <w:rFonts w:cstheme="minorHAnsi"/>
                <w:color w:val="0B0C0C"/>
                <w:shd w:val="clear" w:color="auto" w:fill="FFFFFF"/>
              </w:rPr>
            </w:pPr>
          </w:p>
          <w:p w14:paraId="6B1EDF9C" w14:textId="44688113"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A754934" w14:textId="77777777" w:rsidR="0024053C" w:rsidRPr="00B44EF3" w:rsidRDefault="0024053C" w:rsidP="0024053C">
            <w:pPr>
              <w:rPr>
                <w:rFonts w:cstheme="minorHAnsi"/>
                <w:color w:val="0B0C0C"/>
                <w:shd w:val="clear" w:color="auto" w:fill="FFFFFF"/>
              </w:rPr>
            </w:pPr>
          </w:p>
          <w:p w14:paraId="2086082A" w14:textId="59C0693F"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Schools’ allocations will be calculated on a per pupil basis, providing each mainstream school with a tot</w:t>
            </w:r>
            <w:r w:rsidR="003E5A31">
              <w:rPr>
                <w:rFonts w:cstheme="minorHAnsi"/>
                <w:color w:val="0B0C0C"/>
                <w:shd w:val="clear" w:color="auto" w:fill="FFFFFF"/>
              </w:rPr>
              <w:t>al of £80 for each pupil from FS2 to Year 6</w:t>
            </w:r>
            <w:r w:rsidRPr="00B44EF3">
              <w:rPr>
                <w:rFonts w:cstheme="minorHAnsi"/>
                <w:color w:val="0B0C0C"/>
                <w:shd w:val="clear" w:color="auto" w:fill="FFFFFF"/>
              </w:rPr>
              <w:t>.</w:t>
            </w:r>
          </w:p>
          <w:p w14:paraId="50F3F68B" w14:textId="77777777" w:rsidR="0024053C" w:rsidRPr="00B44EF3" w:rsidRDefault="0024053C" w:rsidP="0024053C">
            <w:pPr>
              <w:rPr>
                <w:rFonts w:cstheme="minorHAnsi"/>
                <w:color w:val="0B0C0C"/>
                <w:shd w:val="clear" w:color="auto" w:fill="FFFFFF"/>
              </w:rPr>
            </w:pPr>
          </w:p>
          <w:p w14:paraId="30AF6817" w14:textId="77777777" w:rsidR="0024053C" w:rsidRDefault="0024053C" w:rsidP="0024053C">
            <w:pPr>
              <w:rPr>
                <w:rFonts w:cstheme="minorHAnsi"/>
                <w:color w:val="0B0C0C"/>
                <w:shd w:val="clear" w:color="auto" w:fill="FFFFFF"/>
              </w:rPr>
            </w:pPr>
            <w:r w:rsidRPr="00B44EF3">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1A79848C" w14:textId="63258014" w:rsidR="0024053C" w:rsidRPr="00B44EF3" w:rsidRDefault="0024053C" w:rsidP="0024053C">
            <w:pPr>
              <w:rPr>
                <w:rFonts w:cstheme="minorHAnsi"/>
              </w:rPr>
            </w:pPr>
          </w:p>
        </w:tc>
      </w:tr>
      <w:tr w:rsidR="000079DF" w:rsidRPr="000079DF" w14:paraId="182AA1CF" w14:textId="77777777" w:rsidTr="000A739A">
        <w:trPr>
          <w:trHeight w:val="332"/>
        </w:trPr>
        <w:tc>
          <w:tcPr>
            <w:tcW w:w="7706" w:type="dxa"/>
            <w:shd w:val="clear" w:color="auto" w:fill="95B3D7" w:themeFill="accent1" w:themeFillTint="99"/>
            <w:tcMar>
              <w:top w:w="57" w:type="dxa"/>
              <w:bottom w:w="57" w:type="dxa"/>
            </w:tcMar>
          </w:tcPr>
          <w:p w14:paraId="3C3492D3" w14:textId="3EBA8B1C" w:rsidR="0024053C" w:rsidRPr="000079DF" w:rsidRDefault="0024053C" w:rsidP="0024053C">
            <w:pPr>
              <w:rPr>
                <w:rFonts w:cstheme="minorHAnsi"/>
                <w:color w:val="FFFFFF" w:themeColor="background1"/>
                <w:sz w:val="24"/>
                <w:szCs w:val="24"/>
              </w:rPr>
            </w:pPr>
            <w:r w:rsidRPr="000079DF">
              <w:rPr>
                <w:rFonts w:cs="Arial"/>
                <w:b/>
                <w:color w:val="FFFFFF" w:themeColor="background1"/>
                <w:sz w:val="24"/>
                <w:szCs w:val="24"/>
              </w:rPr>
              <w:t>Use of Funds</w:t>
            </w:r>
          </w:p>
        </w:tc>
        <w:tc>
          <w:tcPr>
            <w:tcW w:w="7706" w:type="dxa"/>
            <w:shd w:val="clear" w:color="auto" w:fill="95B3D7" w:themeFill="accent1" w:themeFillTint="99"/>
          </w:tcPr>
          <w:p w14:paraId="47F1893C" w14:textId="48BE771A" w:rsidR="0024053C" w:rsidRPr="000079DF" w:rsidRDefault="0024053C" w:rsidP="0024053C">
            <w:pPr>
              <w:rPr>
                <w:rFonts w:cstheme="minorHAnsi"/>
                <w:b/>
                <w:bCs/>
                <w:color w:val="FFFFFF" w:themeColor="background1"/>
                <w:sz w:val="24"/>
                <w:szCs w:val="24"/>
              </w:rPr>
            </w:pPr>
            <w:r w:rsidRPr="000079DF">
              <w:rPr>
                <w:rFonts w:cstheme="minorHAnsi"/>
                <w:b/>
                <w:bCs/>
                <w:color w:val="FFFFFF" w:themeColor="background1"/>
                <w:sz w:val="24"/>
                <w:szCs w:val="24"/>
              </w:rPr>
              <w:t>EEF Recommendations</w:t>
            </w:r>
          </w:p>
        </w:tc>
      </w:tr>
      <w:tr w:rsidR="0024053C" w:rsidRPr="008B27BE" w14:paraId="302ECD01" w14:textId="77777777" w:rsidTr="002E7E2E">
        <w:trPr>
          <w:trHeight w:val="755"/>
        </w:trPr>
        <w:tc>
          <w:tcPr>
            <w:tcW w:w="7706" w:type="dxa"/>
            <w:tcMar>
              <w:top w:w="57" w:type="dxa"/>
              <w:bottom w:w="57" w:type="dxa"/>
            </w:tcMar>
          </w:tcPr>
          <w:p w14:paraId="3CB7D810" w14:textId="77777777" w:rsidR="0024053C"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p>
          <w:p w14:paraId="15777C54" w14:textId="39423A00"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should use this funding for specific activities to support their pupils to catch up for lost teaching over the previous months, in line with the guidance on </w:t>
            </w:r>
            <w:hyperlink r:id="rId12" w:anchor="section-3-curriculum-behaviour-and-pastoral-support" w:history="1">
              <w:r w:rsidRPr="00B44EF3">
                <w:rPr>
                  <w:rStyle w:val="Hyperlink"/>
                  <w:rFonts w:asciiTheme="minorHAnsi" w:hAnsiTheme="minorHAnsi" w:cstheme="minorHAnsi"/>
                  <w:color w:val="4C2C92"/>
                  <w:sz w:val="22"/>
                  <w:szCs w:val="22"/>
                  <w:bdr w:val="none" w:sz="0" w:space="0" w:color="auto" w:frame="1"/>
                </w:rPr>
                <w:t>curriculum expectations for the next academic year</w:t>
              </w:r>
            </w:hyperlink>
            <w:r w:rsidRPr="00B44EF3">
              <w:rPr>
                <w:rFonts w:asciiTheme="minorHAnsi" w:hAnsiTheme="minorHAnsi" w:cstheme="minorHAnsi"/>
                <w:color w:val="0B0C0C"/>
                <w:sz w:val="22"/>
                <w:szCs w:val="22"/>
              </w:rPr>
              <w:t>.</w:t>
            </w:r>
          </w:p>
          <w:p w14:paraId="23E95D1D" w14:textId="77777777" w:rsidR="0024053C" w:rsidRPr="00B44EF3" w:rsidRDefault="0024053C" w:rsidP="0024053C">
            <w:pPr>
              <w:pStyle w:val="NormalWeb"/>
              <w:shd w:val="clear" w:color="auto" w:fill="FFFFFF"/>
              <w:spacing w:before="300" w:beforeAutospacing="0" w:after="30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have the flexibility to spend their funding in the best way for their cohort and circumstances.</w:t>
            </w:r>
          </w:p>
          <w:p w14:paraId="4AA5D6A9" w14:textId="77777777"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To support schools to make the best use of this funding, the Education Endowment Foundation (EEF) has published a </w:t>
            </w:r>
            <w:hyperlink r:id="rId13" w:anchor="nav-covid-19-support-guide-for-schools1" w:history="1">
              <w:r w:rsidRPr="00B44EF3">
                <w:rPr>
                  <w:rStyle w:val="Hyperlink"/>
                  <w:rFonts w:asciiTheme="minorHAnsi" w:hAnsiTheme="minorHAnsi" w:cstheme="minorHAnsi"/>
                  <w:color w:val="4C2C92"/>
                  <w:sz w:val="22"/>
                  <w:szCs w:val="22"/>
                  <w:bdr w:val="none" w:sz="0" w:space="0" w:color="auto" w:frame="1"/>
                </w:rPr>
                <w:t>coronavirus (COVID-19) support guide for schools</w:t>
              </w:r>
            </w:hyperlink>
            <w:r w:rsidRPr="00B44EF3">
              <w:rPr>
                <w:rFonts w:asciiTheme="minorHAnsi" w:hAnsiTheme="minorHAnsi" w:cstheme="minorHAnsi"/>
                <w:color w:val="0B0C0C"/>
                <w:sz w:val="22"/>
                <w:szCs w:val="22"/>
              </w:rPr>
              <w:t> with evidence-based approaches to catch up for all students. Schools should use this document to help them direct their additional funding in the most effective way.</w:t>
            </w:r>
          </w:p>
          <w:p w14:paraId="5728E2EA" w14:textId="77777777" w:rsidR="0024053C" w:rsidRDefault="0024053C" w:rsidP="0024053C">
            <w:pPr>
              <w:rPr>
                <w:rFonts w:cstheme="minorHAnsi"/>
              </w:rPr>
            </w:pPr>
          </w:p>
          <w:p w14:paraId="43924151" w14:textId="32D8F2A7" w:rsidR="0024053C" w:rsidRDefault="0024053C" w:rsidP="0024053C">
            <w:pPr>
              <w:rPr>
                <w:rFonts w:cs="Arial"/>
              </w:rPr>
            </w:pPr>
          </w:p>
        </w:tc>
        <w:tc>
          <w:tcPr>
            <w:tcW w:w="7706" w:type="dxa"/>
          </w:tcPr>
          <w:p w14:paraId="3E98B8D8" w14:textId="77777777" w:rsidR="0024053C" w:rsidRDefault="0024053C" w:rsidP="0024053C">
            <w:pPr>
              <w:rPr>
                <w:rFonts w:cstheme="minorHAnsi"/>
              </w:rPr>
            </w:pPr>
          </w:p>
          <w:p w14:paraId="47E1BF1E" w14:textId="73E8A1EB" w:rsidR="0024053C" w:rsidRDefault="0024053C" w:rsidP="0024053C">
            <w:pPr>
              <w:rPr>
                <w:rFonts w:cstheme="minorHAnsi"/>
              </w:rPr>
            </w:pPr>
            <w:r w:rsidRPr="00B44EF3">
              <w:rPr>
                <w:rFonts w:cstheme="minorHAnsi"/>
              </w:rPr>
              <w:t>The EEF advises the following:</w:t>
            </w:r>
          </w:p>
          <w:p w14:paraId="721B669C" w14:textId="77777777" w:rsidR="0024053C" w:rsidRPr="00B44EF3" w:rsidRDefault="0024053C" w:rsidP="0024053C">
            <w:pPr>
              <w:rPr>
                <w:rFonts w:cstheme="minorHAnsi"/>
              </w:rPr>
            </w:pPr>
          </w:p>
          <w:p w14:paraId="3A6DC28E" w14:textId="77777777" w:rsidR="0024053C" w:rsidRPr="00B44EF3" w:rsidRDefault="0024053C" w:rsidP="0024053C">
            <w:pPr>
              <w:rPr>
                <w:rFonts w:cstheme="minorHAnsi"/>
              </w:rPr>
            </w:pPr>
            <w:r w:rsidRPr="00B44EF3">
              <w:rPr>
                <w:rFonts w:cstheme="minorHAnsi"/>
              </w:rPr>
              <w:t xml:space="preserve">Teaching and whole school strategies </w:t>
            </w:r>
          </w:p>
          <w:p w14:paraId="1FCDA791" w14:textId="2305FAC4" w:rsidR="0024053C" w:rsidRPr="0024053C" w:rsidRDefault="0024053C" w:rsidP="006F09D7">
            <w:pPr>
              <w:pStyle w:val="ListParagraph"/>
              <w:numPr>
                <w:ilvl w:val="0"/>
                <w:numId w:val="47"/>
              </w:numPr>
              <w:rPr>
                <w:rFonts w:cstheme="minorHAnsi"/>
              </w:rPr>
            </w:pPr>
            <w:r w:rsidRPr="0024053C">
              <w:rPr>
                <w:rFonts w:cstheme="minorHAnsi"/>
              </w:rPr>
              <w:t>Supporting great teaching</w:t>
            </w:r>
          </w:p>
          <w:p w14:paraId="2FA22152" w14:textId="79D3E58E" w:rsidR="0024053C" w:rsidRPr="0024053C" w:rsidRDefault="0024053C" w:rsidP="006F09D7">
            <w:pPr>
              <w:pStyle w:val="ListParagraph"/>
              <w:numPr>
                <w:ilvl w:val="0"/>
                <w:numId w:val="47"/>
              </w:numPr>
              <w:rPr>
                <w:rFonts w:cstheme="minorHAnsi"/>
              </w:rPr>
            </w:pPr>
            <w:r w:rsidRPr="0024053C">
              <w:rPr>
                <w:rFonts w:cstheme="minorHAnsi"/>
              </w:rPr>
              <w:t xml:space="preserve">Pupil assessment and feedback </w:t>
            </w:r>
          </w:p>
          <w:p w14:paraId="79E510BD" w14:textId="65133E7A" w:rsidR="0024053C" w:rsidRPr="0024053C" w:rsidRDefault="0024053C" w:rsidP="006F09D7">
            <w:pPr>
              <w:pStyle w:val="ListParagraph"/>
              <w:numPr>
                <w:ilvl w:val="0"/>
                <w:numId w:val="47"/>
              </w:numPr>
              <w:rPr>
                <w:rFonts w:cstheme="minorHAnsi"/>
              </w:rPr>
            </w:pPr>
            <w:r w:rsidRPr="0024053C">
              <w:rPr>
                <w:rFonts w:cstheme="minorHAnsi"/>
              </w:rPr>
              <w:t>Transition support</w:t>
            </w:r>
          </w:p>
          <w:p w14:paraId="47CA0C77" w14:textId="77777777" w:rsidR="0024053C" w:rsidRDefault="0024053C" w:rsidP="0024053C">
            <w:pPr>
              <w:rPr>
                <w:rFonts w:cstheme="minorHAnsi"/>
              </w:rPr>
            </w:pPr>
          </w:p>
          <w:p w14:paraId="63C02D93" w14:textId="203C63B6" w:rsidR="0024053C" w:rsidRPr="006F09D7" w:rsidRDefault="0024053C" w:rsidP="006F09D7">
            <w:pPr>
              <w:pStyle w:val="ListParagraph"/>
              <w:numPr>
                <w:ilvl w:val="0"/>
                <w:numId w:val="47"/>
              </w:numPr>
              <w:rPr>
                <w:rFonts w:cstheme="minorHAnsi"/>
              </w:rPr>
            </w:pPr>
            <w:r w:rsidRPr="006F09D7">
              <w:rPr>
                <w:rFonts w:cstheme="minorHAnsi"/>
              </w:rPr>
              <w:t xml:space="preserve">Targeted approaches </w:t>
            </w:r>
          </w:p>
          <w:p w14:paraId="5EA1579D" w14:textId="17B255CE" w:rsidR="0024053C" w:rsidRPr="0024053C" w:rsidRDefault="0024053C" w:rsidP="006F09D7">
            <w:pPr>
              <w:pStyle w:val="ListParagraph"/>
              <w:numPr>
                <w:ilvl w:val="0"/>
                <w:numId w:val="47"/>
              </w:numPr>
              <w:rPr>
                <w:rFonts w:cstheme="minorHAnsi"/>
              </w:rPr>
            </w:pPr>
            <w:r w:rsidRPr="0024053C">
              <w:rPr>
                <w:rFonts w:cstheme="minorHAnsi"/>
              </w:rPr>
              <w:t xml:space="preserve">One to one and small group tuition </w:t>
            </w:r>
          </w:p>
          <w:p w14:paraId="6EAAFB7F" w14:textId="5F0866B8" w:rsidR="0024053C" w:rsidRPr="0024053C" w:rsidRDefault="0024053C" w:rsidP="006F09D7">
            <w:pPr>
              <w:pStyle w:val="ListParagraph"/>
              <w:numPr>
                <w:ilvl w:val="0"/>
                <w:numId w:val="47"/>
              </w:numPr>
              <w:rPr>
                <w:rFonts w:cstheme="minorHAnsi"/>
              </w:rPr>
            </w:pPr>
            <w:r w:rsidRPr="0024053C">
              <w:rPr>
                <w:rFonts w:cstheme="minorHAnsi"/>
              </w:rPr>
              <w:t xml:space="preserve">Intervention programmes </w:t>
            </w:r>
          </w:p>
          <w:p w14:paraId="307F32B2" w14:textId="2FFD45FB" w:rsidR="0024053C" w:rsidRPr="0024053C" w:rsidRDefault="0024053C" w:rsidP="006F09D7">
            <w:pPr>
              <w:pStyle w:val="ListParagraph"/>
              <w:numPr>
                <w:ilvl w:val="0"/>
                <w:numId w:val="47"/>
              </w:numPr>
              <w:rPr>
                <w:rFonts w:cstheme="minorHAnsi"/>
              </w:rPr>
            </w:pPr>
            <w:r w:rsidRPr="0024053C">
              <w:rPr>
                <w:rFonts w:cstheme="minorHAnsi"/>
              </w:rPr>
              <w:t>Extended school time</w:t>
            </w:r>
          </w:p>
          <w:p w14:paraId="01BC8B8C" w14:textId="77777777" w:rsidR="0024053C" w:rsidRDefault="0024053C" w:rsidP="0024053C">
            <w:pPr>
              <w:rPr>
                <w:rFonts w:cstheme="minorHAnsi"/>
              </w:rPr>
            </w:pPr>
          </w:p>
          <w:p w14:paraId="1AC89E5F" w14:textId="2D4D18C8" w:rsidR="0024053C" w:rsidRPr="006F09D7" w:rsidRDefault="0024053C" w:rsidP="006F09D7">
            <w:pPr>
              <w:pStyle w:val="ListParagraph"/>
              <w:numPr>
                <w:ilvl w:val="0"/>
                <w:numId w:val="47"/>
              </w:numPr>
              <w:rPr>
                <w:rFonts w:cstheme="minorHAnsi"/>
              </w:rPr>
            </w:pPr>
            <w:r w:rsidRPr="006F09D7">
              <w:rPr>
                <w:rFonts w:cstheme="minorHAnsi"/>
              </w:rPr>
              <w:t xml:space="preserve">Wider strategies </w:t>
            </w:r>
          </w:p>
          <w:p w14:paraId="1D7075D6" w14:textId="7FD78D1F" w:rsidR="0024053C" w:rsidRPr="0024053C" w:rsidRDefault="0024053C" w:rsidP="006F09D7">
            <w:pPr>
              <w:pStyle w:val="ListParagraph"/>
              <w:numPr>
                <w:ilvl w:val="0"/>
                <w:numId w:val="47"/>
              </w:numPr>
              <w:rPr>
                <w:rFonts w:cstheme="minorHAnsi"/>
              </w:rPr>
            </w:pPr>
            <w:r w:rsidRPr="0024053C">
              <w:rPr>
                <w:rFonts w:cstheme="minorHAnsi"/>
              </w:rPr>
              <w:t xml:space="preserve">Supporting parent and carers </w:t>
            </w:r>
          </w:p>
          <w:p w14:paraId="7E65459D" w14:textId="37C788E2" w:rsidR="0024053C" w:rsidRPr="0024053C" w:rsidRDefault="0024053C" w:rsidP="006F09D7">
            <w:pPr>
              <w:pStyle w:val="ListParagraph"/>
              <w:numPr>
                <w:ilvl w:val="0"/>
                <w:numId w:val="47"/>
              </w:numPr>
              <w:rPr>
                <w:rFonts w:cstheme="minorHAnsi"/>
              </w:rPr>
            </w:pPr>
            <w:r w:rsidRPr="0024053C">
              <w:rPr>
                <w:rFonts w:cstheme="minorHAnsi"/>
              </w:rPr>
              <w:t xml:space="preserve">Access to technology </w:t>
            </w:r>
          </w:p>
          <w:p w14:paraId="5CE09E89" w14:textId="390C827A" w:rsidR="0024053C" w:rsidRDefault="0024053C" w:rsidP="006F09D7">
            <w:pPr>
              <w:pStyle w:val="NormalWeb"/>
              <w:numPr>
                <w:ilvl w:val="0"/>
                <w:numId w:val="47"/>
              </w:numPr>
              <w:shd w:val="clear" w:color="auto" w:fill="FFFFFF"/>
              <w:spacing w:before="0" w:beforeAutospacing="0" w:after="0" w:afterAutospacing="0"/>
              <w:rPr>
                <w:rFonts w:ascii="Arial" w:hAnsi="Arial" w:cs="Arial"/>
                <w:color w:val="0B0C0C"/>
                <w:sz w:val="29"/>
                <w:szCs w:val="29"/>
              </w:rPr>
            </w:pPr>
            <w:r w:rsidRPr="00B44EF3">
              <w:rPr>
                <w:rFonts w:asciiTheme="minorHAnsi" w:hAnsiTheme="minorHAnsi" w:cstheme="minorHAnsi"/>
                <w:sz w:val="22"/>
                <w:szCs w:val="22"/>
              </w:rPr>
              <w:t>Summer support</w:t>
            </w:r>
          </w:p>
        </w:tc>
      </w:tr>
    </w:tbl>
    <w:p w14:paraId="32A00225" w14:textId="77777777" w:rsidR="00D154D0" w:rsidRPr="008B27BE" w:rsidRDefault="00D154D0">
      <w:pPr>
        <w:rPr>
          <w:rFonts w:cs="Arial"/>
          <w:sz w:val="16"/>
          <w:szCs w:val="16"/>
        </w:rPr>
      </w:pPr>
    </w:p>
    <w:p w14:paraId="7DFE7F1F" w14:textId="3AD59680" w:rsidR="0069612A" w:rsidRPr="0069612A" w:rsidRDefault="006C2BB8" w:rsidP="0069612A">
      <w:pPr>
        <w:rPr>
          <w:b/>
          <w:u w:val="single"/>
        </w:rPr>
      </w:pPr>
      <w:r>
        <w:rPr>
          <w:b/>
          <w:u w:val="single"/>
        </w:rPr>
        <w:lastRenderedPageBreak/>
        <w:t xml:space="preserve">School </w:t>
      </w:r>
      <w:r w:rsidR="0069612A" w:rsidRPr="0069612A">
        <w:rPr>
          <w:b/>
          <w:u w:val="single"/>
        </w:rPr>
        <w:t xml:space="preserve">Data Post Lockdown 2 (April </w:t>
      </w:r>
      <w:r>
        <w:rPr>
          <w:b/>
          <w:u w:val="single"/>
        </w:rPr>
        <w:t xml:space="preserve">Baseline </w:t>
      </w:r>
      <w:r w:rsidR="0069612A" w:rsidRPr="0069612A">
        <w:rPr>
          <w:b/>
          <w:u w:val="single"/>
        </w:rPr>
        <w:t>2021)</w:t>
      </w:r>
    </w:p>
    <w:p w14:paraId="275FB74F" w14:textId="77777777" w:rsidR="0069612A" w:rsidRPr="0069612A" w:rsidRDefault="0069612A" w:rsidP="0069612A">
      <w:pPr>
        <w:rPr>
          <w:b/>
          <w:u w:val="single"/>
        </w:rPr>
      </w:pPr>
    </w:p>
    <w:tbl>
      <w:tblPr>
        <w:tblStyle w:val="TableGrid"/>
        <w:tblW w:w="15310" w:type="dxa"/>
        <w:tblLayout w:type="fixed"/>
        <w:tblLook w:val="04A0" w:firstRow="1" w:lastRow="0" w:firstColumn="1" w:lastColumn="0" w:noHBand="0" w:noVBand="1"/>
      </w:tblPr>
      <w:tblGrid>
        <w:gridCol w:w="1276"/>
        <w:gridCol w:w="1701"/>
        <w:gridCol w:w="1560"/>
        <w:gridCol w:w="1559"/>
        <w:gridCol w:w="1559"/>
        <w:gridCol w:w="1559"/>
        <w:gridCol w:w="1560"/>
        <w:gridCol w:w="1559"/>
        <w:gridCol w:w="1417"/>
        <w:gridCol w:w="1560"/>
      </w:tblGrid>
      <w:tr w:rsidR="0069612A" w:rsidRPr="0069612A" w14:paraId="5CA81599" w14:textId="77777777" w:rsidTr="0069612A">
        <w:trPr>
          <w:trHeight w:val="452"/>
        </w:trPr>
        <w:tc>
          <w:tcPr>
            <w:tcW w:w="1276" w:type="dxa"/>
          </w:tcPr>
          <w:p w14:paraId="1E080C85" w14:textId="77777777" w:rsidR="0069612A" w:rsidRPr="0069612A" w:rsidRDefault="0069612A" w:rsidP="0069612A"/>
        </w:tc>
        <w:tc>
          <w:tcPr>
            <w:tcW w:w="4820" w:type="dxa"/>
            <w:gridSpan w:val="3"/>
          </w:tcPr>
          <w:p w14:paraId="35D51459" w14:textId="77777777" w:rsidR="0069612A" w:rsidRPr="0069612A" w:rsidRDefault="0069612A" w:rsidP="0069612A">
            <w:pPr>
              <w:rPr>
                <w:b/>
              </w:rPr>
            </w:pPr>
            <w:r w:rsidRPr="0069612A">
              <w:rPr>
                <w:b/>
              </w:rPr>
              <w:t xml:space="preserve">Broadly In Line or better </w:t>
            </w:r>
          </w:p>
        </w:tc>
        <w:tc>
          <w:tcPr>
            <w:tcW w:w="4678" w:type="dxa"/>
            <w:gridSpan w:val="3"/>
            <w:shd w:val="clear" w:color="auto" w:fill="D9D9D9" w:themeFill="background1" w:themeFillShade="D9"/>
          </w:tcPr>
          <w:p w14:paraId="4A7A5F7E" w14:textId="77777777" w:rsidR="0069612A" w:rsidRPr="0069612A" w:rsidRDefault="0069612A" w:rsidP="0069612A">
            <w:pPr>
              <w:rPr>
                <w:b/>
              </w:rPr>
            </w:pPr>
            <w:r w:rsidRPr="0069612A">
              <w:rPr>
                <w:b/>
              </w:rPr>
              <w:t>Slightly Behind</w:t>
            </w:r>
          </w:p>
        </w:tc>
        <w:tc>
          <w:tcPr>
            <w:tcW w:w="4536" w:type="dxa"/>
            <w:gridSpan w:val="3"/>
            <w:shd w:val="clear" w:color="auto" w:fill="A6A6A6" w:themeFill="background1" w:themeFillShade="A6"/>
          </w:tcPr>
          <w:p w14:paraId="53AE3159" w14:textId="77777777" w:rsidR="0069612A" w:rsidRPr="0069612A" w:rsidRDefault="0069612A" w:rsidP="0069612A">
            <w:pPr>
              <w:rPr>
                <w:b/>
              </w:rPr>
            </w:pPr>
            <w:r w:rsidRPr="0069612A">
              <w:rPr>
                <w:b/>
              </w:rPr>
              <w:t>Significantly Behind</w:t>
            </w:r>
          </w:p>
        </w:tc>
      </w:tr>
      <w:tr w:rsidR="0069612A" w:rsidRPr="0069612A" w14:paraId="388C4BCE" w14:textId="77777777" w:rsidTr="0069612A">
        <w:trPr>
          <w:trHeight w:val="478"/>
        </w:trPr>
        <w:tc>
          <w:tcPr>
            <w:tcW w:w="1276" w:type="dxa"/>
          </w:tcPr>
          <w:p w14:paraId="3751687F" w14:textId="77777777" w:rsidR="0069612A" w:rsidRPr="0069612A" w:rsidRDefault="0069612A" w:rsidP="0069612A"/>
        </w:tc>
        <w:tc>
          <w:tcPr>
            <w:tcW w:w="1701" w:type="dxa"/>
          </w:tcPr>
          <w:p w14:paraId="4922A8C7" w14:textId="77777777" w:rsidR="0069612A" w:rsidRPr="0069612A" w:rsidRDefault="0069612A" w:rsidP="0069612A">
            <w:pPr>
              <w:rPr>
                <w:b/>
              </w:rPr>
            </w:pPr>
            <w:r w:rsidRPr="0069612A">
              <w:rPr>
                <w:b/>
              </w:rPr>
              <w:t>Reading</w:t>
            </w:r>
          </w:p>
        </w:tc>
        <w:tc>
          <w:tcPr>
            <w:tcW w:w="1560" w:type="dxa"/>
          </w:tcPr>
          <w:p w14:paraId="51B1AF90" w14:textId="77777777" w:rsidR="0069612A" w:rsidRPr="0069612A" w:rsidRDefault="0069612A" w:rsidP="0069612A">
            <w:pPr>
              <w:rPr>
                <w:b/>
              </w:rPr>
            </w:pPr>
            <w:r w:rsidRPr="0069612A">
              <w:rPr>
                <w:b/>
              </w:rPr>
              <w:t>Maths</w:t>
            </w:r>
          </w:p>
        </w:tc>
        <w:tc>
          <w:tcPr>
            <w:tcW w:w="1559" w:type="dxa"/>
          </w:tcPr>
          <w:p w14:paraId="28A8F5EA" w14:textId="77777777" w:rsidR="0069612A" w:rsidRPr="0069612A" w:rsidRDefault="0069612A" w:rsidP="0069612A">
            <w:pPr>
              <w:rPr>
                <w:b/>
              </w:rPr>
            </w:pPr>
            <w:r w:rsidRPr="0069612A">
              <w:rPr>
                <w:b/>
              </w:rPr>
              <w:t>Writing</w:t>
            </w:r>
          </w:p>
        </w:tc>
        <w:tc>
          <w:tcPr>
            <w:tcW w:w="1559" w:type="dxa"/>
            <w:shd w:val="clear" w:color="auto" w:fill="D9D9D9" w:themeFill="background1" w:themeFillShade="D9"/>
          </w:tcPr>
          <w:p w14:paraId="74EEDA3C" w14:textId="77777777" w:rsidR="0069612A" w:rsidRPr="0069612A" w:rsidRDefault="0069612A" w:rsidP="0069612A">
            <w:pPr>
              <w:rPr>
                <w:b/>
              </w:rPr>
            </w:pPr>
            <w:r w:rsidRPr="0069612A">
              <w:rPr>
                <w:b/>
              </w:rPr>
              <w:t>Reading</w:t>
            </w:r>
          </w:p>
        </w:tc>
        <w:tc>
          <w:tcPr>
            <w:tcW w:w="1559" w:type="dxa"/>
            <w:shd w:val="clear" w:color="auto" w:fill="D9D9D9" w:themeFill="background1" w:themeFillShade="D9"/>
          </w:tcPr>
          <w:p w14:paraId="0A3733E6" w14:textId="77777777" w:rsidR="0069612A" w:rsidRPr="0069612A" w:rsidRDefault="0069612A" w:rsidP="0069612A">
            <w:pPr>
              <w:rPr>
                <w:b/>
              </w:rPr>
            </w:pPr>
            <w:r w:rsidRPr="0069612A">
              <w:rPr>
                <w:b/>
              </w:rPr>
              <w:t>Maths</w:t>
            </w:r>
          </w:p>
        </w:tc>
        <w:tc>
          <w:tcPr>
            <w:tcW w:w="1560" w:type="dxa"/>
            <w:shd w:val="clear" w:color="auto" w:fill="D9D9D9" w:themeFill="background1" w:themeFillShade="D9"/>
          </w:tcPr>
          <w:p w14:paraId="02CEBB07" w14:textId="77777777" w:rsidR="0069612A" w:rsidRPr="0069612A" w:rsidRDefault="0069612A" w:rsidP="0069612A">
            <w:pPr>
              <w:rPr>
                <w:b/>
              </w:rPr>
            </w:pPr>
            <w:r w:rsidRPr="0069612A">
              <w:rPr>
                <w:b/>
              </w:rPr>
              <w:t>Writing</w:t>
            </w:r>
          </w:p>
        </w:tc>
        <w:tc>
          <w:tcPr>
            <w:tcW w:w="1559" w:type="dxa"/>
            <w:shd w:val="clear" w:color="auto" w:fill="A6A6A6" w:themeFill="background1" w:themeFillShade="A6"/>
          </w:tcPr>
          <w:p w14:paraId="4FE99F0F" w14:textId="77777777" w:rsidR="0069612A" w:rsidRPr="0069612A" w:rsidRDefault="0069612A" w:rsidP="0069612A">
            <w:pPr>
              <w:rPr>
                <w:b/>
              </w:rPr>
            </w:pPr>
            <w:r w:rsidRPr="0069612A">
              <w:rPr>
                <w:b/>
              </w:rPr>
              <w:t>Reading</w:t>
            </w:r>
          </w:p>
        </w:tc>
        <w:tc>
          <w:tcPr>
            <w:tcW w:w="1417" w:type="dxa"/>
            <w:shd w:val="clear" w:color="auto" w:fill="A6A6A6" w:themeFill="background1" w:themeFillShade="A6"/>
          </w:tcPr>
          <w:p w14:paraId="5087E009" w14:textId="77777777" w:rsidR="0069612A" w:rsidRPr="0069612A" w:rsidRDefault="0069612A" w:rsidP="0069612A">
            <w:pPr>
              <w:rPr>
                <w:b/>
              </w:rPr>
            </w:pPr>
            <w:r w:rsidRPr="0069612A">
              <w:rPr>
                <w:b/>
              </w:rPr>
              <w:t>Maths</w:t>
            </w:r>
          </w:p>
        </w:tc>
        <w:tc>
          <w:tcPr>
            <w:tcW w:w="1560" w:type="dxa"/>
            <w:shd w:val="clear" w:color="auto" w:fill="A6A6A6" w:themeFill="background1" w:themeFillShade="A6"/>
          </w:tcPr>
          <w:p w14:paraId="07AAA518" w14:textId="77777777" w:rsidR="0069612A" w:rsidRPr="0069612A" w:rsidRDefault="0069612A" w:rsidP="0069612A">
            <w:pPr>
              <w:rPr>
                <w:b/>
              </w:rPr>
            </w:pPr>
            <w:r w:rsidRPr="0069612A">
              <w:rPr>
                <w:b/>
              </w:rPr>
              <w:t>Writing</w:t>
            </w:r>
          </w:p>
        </w:tc>
      </w:tr>
      <w:tr w:rsidR="0069612A" w:rsidRPr="0069612A" w14:paraId="0600F273" w14:textId="77777777" w:rsidTr="0069612A">
        <w:trPr>
          <w:trHeight w:val="452"/>
        </w:trPr>
        <w:tc>
          <w:tcPr>
            <w:tcW w:w="1276" w:type="dxa"/>
          </w:tcPr>
          <w:p w14:paraId="7944FF9D" w14:textId="79FF9E1B" w:rsidR="0069612A" w:rsidRPr="0069612A" w:rsidRDefault="0069612A" w:rsidP="0069612A">
            <w:pPr>
              <w:rPr>
                <w:b/>
              </w:rPr>
            </w:pPr>
            <w:r w:rsidRPr="0069612A">
              <w:rPr>
                <w:b/>
              </w:rPr>
              <w:t>Y1</w:t>
            </w:r>
            <w:r w:rsidR="00E24162">
              <w:rPr>
                <w:b/>
              </w:rPr>
              <w:t xml:space="preserve"> </w:t>
            </w:r>
            <w:r w:rsidR="00E24162" w:rsidRPr="00E24162">
              <w:t>(28</w:t>
            </w:r>
            <w:r w:rsidR="006C2BB8" w:rsidRPr="00E24162">
              <w:t>)</w:t>
            </w:r>
          </w:p>
        </w:tc>
        <w:tc>
          <w:tcPr>
            <w:tcW w:w="1701" w:type="dxa"/>
          </w:tcPr>
          <w:p w14:paraId="670F2BCF" w14:textId="77777777" w:rsidR="0069612A" w:rsidRPr="006C2BB8" w:rsidRDefault="0069612A" w:rsidP="0069612A">
            <w:pPr>
              <w:rPr>
                <w:highlight w:val="yellow"/>
              </w:rPr>
            </w:pPr>
            <w:r w:rsidRPr="006C2BB8">
              <w:rPr>
                <w:highlight w:val="yellow"/>
              </w:rPr>
              <w:t>10 (36%)</w:t>
            </w:r>
          </w:p>
        </w:tc>
        <w:tc>
          <w:tcPr>
            <w:tcW w:w="1560" w:type="dxa"/>
          </w:tcPr>
          <w:p w14:paraId="4C10951E" w14:textId="77777777" w:rsidR="0069612A" w:rsidRPr="006C2BB8" w:rsidRDefault="0069612A" w:rsidP="0069612A">
            <w:pPr>
              <w:rPr>
                <w:highlight w:val="yellow"/>
              </w:rPr>
            </w:pPr>
            <w:r w:rsidRPr="006C2BB8">
              <w:rPr>
                <w:highlight w:val="yellow"/>
              </w:rPr>
              <w:t>15 (54%)</w:t>
            </w:r>
          </w:p>
        </w:tc>
        <w:tc>
          <w:tcPr>
            <w:tcW w:w="1559" w:type="dxa"/>
          </w:tcPr>
          <w:p w14:paraId="33356F79" w14:textId="77777777" w:rsidR="0069612A" w:rsidRPr="006C2BB8" w:rsidRDefault="0069612A" w:rsidP="0069612A">
            <w:pPr>
              <w:rPr>
                <w:highlight w:val="yellow"/>
              </w:rPr>
            </w:pPr>
            <w:r w:rsidRPr="006C2BB8">
              <w:rPr>
                <w:highlight w:val="yellow"/>
              </w:rPr>
              <w:t>14 (50%)</w:t>
            </w:r>
          </w:p>
        </w:tc>
        <w:tc>
          <w:tcPr>
            <w:tcW w:w="1559" w:type="dxa"/>
            <w:shd w:val="clear" w:color="auto" w:fill="D9D9D9" w:themeFill="background1" w:themeFillShade="D9"/>
          </w:tcPr>
          <w:p w14:paraId="24024B0D" w14:textId="77777777" w:rsidR="0069612A" w:rsidRPr="0069612A" w:rsidRDefault="0069612A" w:rsidP="0069612A">
            <w:r w:rsidRPr="006C2BB8">
              <w:rPr>
                <w:highlight w:val="yellow"/>
              </w:rPr>
              <w:t>11 (39%)</w:t>
            </w:r>
          </w:p>
        </w:tc>
        <w:tc>
          <w:tcPr>
            <w:tcW w:w="1559" w:type="dxa"/>
            <w:shd w:val="clear" w:color="auto" w:fill="D9D9D9" w:themeFill="background1" w:themeFillShade="D9"/>
          </w:tcPr>
          <w:p w14:paraId="07060040" w14:textId="77777777" w:rsidR="0069612A" w:rsidRPr="0069612A" w:rsidRDefault="0069612A" w:rsidP="0069612A">
            <w:r w:rsidRPr="0069612A">
              <w:t>9 (32%)</w:t>
            </w:r>
          </w:p>
        </w:tc>
        <w:tc>
          <w:tcPr>
            <w:tcW w:w="1560" w:type="dxa"/>
            <w:shd w:val="clear" w:color="auto" w:fill="D9D9D9" w:themeFill="background1" w:themeFillShade="D9"/>
          </w:tcPr>
          <w:p w14:paraId="0C445884" w14:textId="77777777" w:rsidR="0069612A" w:rsidRPr="0069612A" w:rsidRDefault="0069612A" w:rsidP="0069612A">
            <w:r w:rsidRPr="0069612A">
              <w:t>8 (29%)</w:t>
            </w:r>
          </w:p>
        </w:tc>
        <w:tc>
          <w:tcPr>
            <w:tcW w:w="1559" w:type="dxa"/>
            <w:shd w:val="clear" w:color="auto" w:fill="A6A6A6" w:themeFill="background1" w:themeFillShade="A6"/>
          </w:tcPr>
          <w:p w14:paraId="35047B72" w14:textId="77777777" w:rsidR="0069612A" w:rsidRPr="0069612A" w:rsidRDefault="0069612A" w:rsidP="0069612A">
            <w:r w:rsidRPr="0069612A">
              <w:t>7 (25%)</w:t>
            </w:r>
          </w:p>
        </w:tc>
        <w:tc>
          <w:tcPr>
            <w:tcW w:w="1417" w:type="dxa"/>
            <w:shd w:val="clear" w:color="auto" w:fill="A6A6A6" w:themeFill="background1" w:themeFillShade="A6"/>
          </w:tcPr>
          <w:p w14:paraId="0800A6CC" w14:textId="77777777" w:rsidR="0069612A" w:rsidRPr="0069612A" w:rsidRDefault="0069612A" w:rsidP="0069612A">
            <w:r w:rsidRPr="0069612A">
              <w:t>4 (14%)</w:t>
            </w:r>
          </w:p>
        </w:tc>
        <w:tc>
          <w:tcPr>
            <w:tcW w:w="1560" w:type="dxa"/>
            <w:shd w:val="clear" w:color="auto" w:fill="A6A6A6" w:themeFill="background1" w:themeFillShade="A6"/>
          </w:tcPr>
          <w:p w14:paraId="1C0BA68B" w14:textId="77777777" w:rsidR="0069612A" w:rsidRPr="0069612A" w:rsidRDefault="0069612A" w:rsidP="0069612A">
            <w:r w:rsidRPr="0069612A">
              <w:t>5 (18%)</w:t>
            </w:r>
          </w:p>
        </w:tc>
      </w:tr>
      <w:tr w:rsidR="0069612A" w:rsidRPr="0069612A" w14:paraId="4E7E45B3" w14:textId="77777777" w:rsidTr="0069612A">
        <w:trPr>
          <w:trHeight w:val="452"/>
        </w:trPr>
        <w:tc>
          <w:tcPr>
            <w:tcW w:w="1276" w:type="dxa"/>
          </w:tcPr>
          <w:p w14:paraId="6D61D1FC" w14:textId="02F93F89" w:rsidR="0069612A" w:rsidRPr="0069612A" w:rsidRDefault="0069612A" w:rsidP="0069612A">
            <w:pPr>
              <w:rPr>
                <w:b/>
              </w:rPr>
            </w:pPr>
            <w:r w:rsidRPr="0069612A">
              <w:rPr>
                <w:b/>
              </w:rPr>
              <w:t>Y2</w:t>
            </w:r>
            <w:r w:rsidR="006C2BB8">
              <w:rPr>
                <w:b/>
              </w:rPr>
              <w:t xml:space="preserve"> </w:t>
            </w:r>
            <w:r w:rsidR="006C2BB8" w:rsidRPr="00E24162">
              <w:t>(</w:t>
            </w:r>
            <w:r w:rsidR="00E24162" w:rsidRPr="00E24162">
              <w:t>29)</w:t>
            </w:r>
          </w:p>
        </w:tc>
        <w:tc>
          <w:tcPr>
            <w:tcW w:w="1701" w:type="dxa"/>
          </w:tcPr>
          <w:p w14:paraId="5CC190D4" w14:textId="77777777" w:rsidR="0069612A" w:rsidRPr="0069612A" w:rsidRDefault="0069612A" w:rsidP="0069612A">
            <w:r w:rsidRPr="0069612A">
              <w:t>19 (68%)</w:t>
            </w:r>
          </w:p>
        </w:tc>
        <w:tc>
          <w:tcPr>
            <w:tcW w:w="1560" w:type="dxa"/>
          </w:tcPr>
          <w:p w14:paraId="08DDFE98" w14:textId="77777777" w:rsidR="0069612A" w:rsidRPr="0069612A" w:rsidRDefault="0069612A" w:rsidP="0069612A">
            <w:r w:rsidRPr="0069612A">
              <w:t>21 (75%)</w:t>
            </w:r>
          </w:p>
        </w:tc>
        <w:tc>
          <w:tcPr>
            <w:tcW w:w="1559" w:type="dxa"/>
          </w:tcPr>
          <w:p w14:paraId="477CBE12" w14:textId="77777777" w:rsidR="0069612A" w:rsidRPr="0069612A" w:rsidRDefault="0069612A" w:rsidP="0069612A">
            <w:r w:rsidRPr="0069612A">
              <w:t>17 (61%)</w:t>
            </w:r>
          </w:p>
        </w:tc>
        <w:tc>
          <w:tcPr>
            <w:tcW w:w="1559" w:type="dxa"/>
            <w:shd w:val="clear" w:color="auto" w:fill="D9D9D9" w:themeFill="background1" w:themeFillShade="D9"/>
          </w:tcPr>
          <w:p w14:paraId="1794A2DD" w14:textId="77777777" w:rsidR="0069612A" w:rsidRPr="0069612A" w:rsidRDefault="0069612A" w:rsidP="0069612A">
            <w:r w:rsidRPr="0069612A">
              <w:t>5 (18%)</w:t>
            </w:r>
          </w:p>
        </w:tc>
        <w:tc>
          <w:tcPr>
            <w:tcW w:w="1559" w:type="dxa"/>
            <w:shd w:val="clear" w:color="auto" w:fill="D9D9D9" w:themeFill="background1" w:themeFillShade="D9"/>
          </w:tcPr>
          <w:p w14:paraId="3C38C876" w14:textId="77777777" w:rsidR="0069612A" w:rsidRPr="0069612A" w:rsidRDefault="0069612A" w:rsidP="0069612A">
            <w:r w:rsidRPr="0069612A">
              <w:t>3 (11%)</w:t>
            </w:r>
          </w:p>
        </w:tc>
        <w:tc>
          <w:tcPr>
            <w:tcW w:w="1560" w:type="dxa"/>
            <w:shd w:val="clear" w:color="auto" w:fill="D9D9D9" w:themeFill="background1" w:themeFillShade="D9"/>
          </w:tcPr>
          <w:p w14:paraId="696F17FA" w14:textId="77777777" w:rsidR="0069612A" w:rsidRPr="0069612A" w:rsidRDefault="0069612A" w:rsidP="0069612A">
            <w:r w:rsidRPr="0069612A">
              <w:t>4 (14%)</w:t>
            </w:r>
          </w:p>
        </w:tc>
        <w:tc>
          <w:tcPr>
            <w:tcW w:w="1559" w:type="dxa"/>
            <w:shd w:val="clear" w:color="auto" w:fill="A6A6A6" w:themeFill="background1" w:themeFillShade="A6"/>
          </w:tcPr>
          <w:p w14:paraId="65F7CC1A" w14:textId="77777777" w:rsidR="0069612A" w:rsidRPr="0069612A" w:rsidRDefault="0069612A" w:rsidP="0069612A">
            <w:r w:rsidRPr="0069612A">
              <w:t>4 (14%)</w:t>
            </w:r>
          </w:p>
        </w:tc>
        <w:tc>
          <w:tcPr>
            <w:tcW w:w="1417" w:type="dxa"/>
            <w:shd w:val="clear" w:color="auto" w:fill="A6A6A6" w:themeFill="background1" w:themeFillShade="A6"/>
          </w:tcPr>
          <w:p w14:paraId="6E5DEC11" w14:textId="77777777" w:rsidR="0069612A" w:rsidRPr="0069612A" w:rsidRDefault="0069612A" w:rsidP="0069612A">
            <w:r w:rsidRPr="0069612A">
              <w:t>4 (14%)</w:t>
            </w:r>
          </w:p>
        </w:tc>
        <w:tc>
          <w:tcPr>
            <w:tcW w:w="1560" w:type="dxa"/>
            <w:shd w:val="clear" w:color="auto" w:fill="A6A6A6" w:themeFill="background1" w:themeFillShade="A6"/>
          </w:tcPr>
          <w:p w14:paraId="24363439" w14:textId="77777777" w:rsidR="0069612A" w:rsidRPr="0069612A" w:rsidRDefault="0069612A" w:rsidP="0069612A">
            <w:r w:rsidRPr="0069612A">
              <w:t>7 (25%)</w:t>
            </w:r>
          </w:p>
        </w:tc>
      </w:tr>
      <w:tr w:rsidR="0069612A" w:rsidRPr="0069612A" w14:paraId="3BAAE860" w14:textId="77777777" w:rsidTr="0069612A">
        <w:trPr>
          <w:trHeight w:val="452"/>
        </w:trPr>
        <w:tc>
          <w:tcPr>
            <w:tcW w:w="1276" w:type="dxa"/>
          </w:tcPr>
          <w:p w14:paraId="5D44B972" w14:textId="77777777" w:rsidR="0069612A" w:rsidRPr="0069612A" w:rsidRDefault="0069612A" w:rsidP="0069612A">
            <w:pPr>
              <w:rPr>
                <w:b/>
              </w:rPr>
            </w:pPr>
            <w:r w:rsidRPr="0069612A">
              <w:rPr>
                <w:b/>
              </w:rPr>
              <w:t xml:space="preserve">Y3 </w:t>
            </w:r>
            <w:r w:rsidRPr="0069612A">
              <w:t>(27)</w:t>
            </w:r>
          </w:p>
        </w:tc>
        <w:tc>
          <w:tcPr>
            <w:tcW w:w="1701" w:type="dxa"/>
          </w:tcPr>
          <w:p w14:paraId="308B26F4" w14:textId="77777777" w:rsidR="0069612A" w:rsidRPr="006C2BB8" w:rsidRDefault="0069612A" w:rsidP="0069612A">
            <w:pPr>
              <w:rPr>
                <w:highlight w:val="yellow"/>
              </w:rPr>
            </w:pPr>
            <w:r w:rsidRPr="006C2BB8">
              <w:rPr>
                <w:highlight w:val="yellow"/>
              </w:rPr>
              <w:t xml:space="preserve">16 (59%) </w:t>
            </w:r>
          </w:p>
        </w:tc>
        <w:tc>
          <w:tcPr>
            <w:tcW w:w="1560" w:type="dxa"/>
          </w:tcPr>
          <w:p w14:paraId="65621EA1" w14:textId="77777777" w:rsidR="0069612A" w:rsidRPr="006C2BB8" w:rsidRDefault="0069612A" w:rsidP="0069612A">
            <w:pPr>
              <w:rPr>
                <w:highlight w:val="yellow"/>
              </w:rPr>
            </w:pPr>
            <w:r w:rsidRPr="006C2BB8">
              <w:rPr>
                <w:highlight w:val="yellow"/>
              </w:rPr>
              <w:t>15 (55%)</w:t>
            </w:r>
          </w:p>
        </w:tc>
        <w:tc>
          <w:tcPr>
            <w:tcW w:w="1559" w:type="dxa"/>
          </w:tcPr>
          <w:p w14:paraId="003DE4FA" w14:textId="77777777" w:rsidR="0069612A" w:rsidRPr="006C2BB8" w:rsidRDefault="0069612A" w:rsidP="0069612A">
            <w:pPr>
              <w:rPr>
                <w:highlight w:val="yellow"/>
              </w:rPr>
            </w:pPr>
            <w:r w:rsidRPr="006C2BB8">
              <w:rPr>
                <w:highlight w:val="yellow"/>
              </w:rPr>
              <w:t>12 (44%)</w:t>
            </w:r>
          </w:p>
        </w:tc>
        <w:tc>
          <w:tcPr>
            <w:tcW w:w="1559" w:type="dxa"/>
            <w:shd w:val="clear" w:color="auto" w:fill="D9D9D9" w:themeFill="background1" w:themeFillShade="D9"/>
          </w:tcPr>
          <w:p w14:paraId="6186002B" w14:textId="77777777" w:rsidR="0069612A" w:rsidRPr="0069612A" w:rsidRDefault="0069612A" w:rsidP="0069612A">
            <w:r w:rsidRPr="0069612A">
              <w:t>4 (14%)</w:t>
            </w:r>
          </w:p>
        </w:tc>
        <w:tc>
          <w:tcPr>
            <w:tcW w:w="1559" w:type="dxa"/>
            <w:shd w:val="clear" w:color="auto" w:fill="D9D9D9" w:themeFill="background1" w:themeFillShade="D9"/>
          </w:tcPr>
          <w:p w14:paraId="6CC1580C" w14:textId="77777777" w:rsidR="0069612A" w:rsidRPr="0069612A" w:rsidRDefault="0069612A" w:rsidP="0069612A">
            <w:r w:rsidRPr="0069612A">
              <w:t>6 (22%)</w:t>
            </w:r>
          </w:p>
        </w:tc>
        <w:tc>
          <w:tcPr>
            <w:tcW w:w="1560" w:type="dxa"/>
            <w:shd w:val="clear" w:color="auto" w:fill="D9D9D9" w:themeFill="background1" w:themeFillShade="D9"/>
          </w:tcPr>
          <w:p w14:paraId="505BB833" w14:textId="77777777" w:rsidR="0069612A" w:rsidRPr="0069612A" w:rsidRDefault="0069612A" w:rsidP="0069612A">
            <w:r w:rsidRPr="0069612A">
              <w:t>6 (22%)</w:t>
            </w:r>
          </w:p>
        </w:tc>
        <w:tc>
          <w:tcPr>
            <w:tcW w:w="1559" w:type="dxa"/>
            <w:shd w:val="clear" w:color="auto" w:fill="A6A6A6" w:themeFill="background1" w:themeFillShade="A6"/>
          </w:tcPr>
          <w:p w14:paraId="69B64F52" w14:textId="77777777" w:rsidR="0069612A" w:rsidRPr="0069612A" w:rsidRDefault="0069612A" w:rsidP="0069612A">
            <w:r w:rsidRPr="0069612A">
              <w:t>7 (25%)</w:t>
            </w:r>
          </w:p>
        </w:tc>
        <w:tc>
          <w:tcPr>
            <w:tcW w:w="1417" w:type="dxa"/>
            <w:shd w:val="clear" w:color="auto" w:fill="A6A6A6" w:themeFill="background1" w:themeFillShade="A6"/>
          </w:tcPr>
          <w:p w14:paraId="120DF1FB" w14:textId="77777777" w:rsidR="0069612A" w:rsidRPr="0069612A" w:rsidRDefault="0069612A" w:rsidP="0069612A">
            <w:r w:rsidRPr="0069612A">
              <w:t>6 (22%)</w:t>
            </w:r>
          </w:p>
        </w:tc>
        <w:tc>
          <w:tcPr>
            <w:tcW w:w="1560" w:type="dxa"/>
            <w:shd w:val="clear" w:color="auto" w:fill="A6A6A6" w:themeFill="background1" w:themeFillShade="A6"/>
          </w:tcPr>
          <w:p w14:paraId="3C08E0F5" w14:textId="77777777" w:rsidR="0069612A" w:rsidRPr="0069612A" w:rsidRDefault="0069612A" w:rsidP="0069612A">
            <w:r w:rsidRPr="006C2BB8">
              <w:rPr>
                <w:highlight w:val="yellow"/>
              </w:rPr>
              <w:t>9 (33%)</w:t>
            </w:r>
          </w:p>
        </w:tc>
      </w:tr>
      <w:tr w:rsidR="0069612A" w:rsidRPr="0069612A" w14:paraId="70CB489F" w14:textId="77777777" w:rsidTr="0069612A">
        <w:trPr>
          <w:trHeight w:val="478"/>
        </w:trPr>
        <w:tc>
          <w:tcPr>
            <w:tcW w:w="1276" w:type="dxa"/>
          </w:tcPr>
          <w:p w14:paraId="26A18EC2" w14:textId="77777777" w:rsidR="0069612A" w:rsidRPr="0069612A" w:rsidRDefault="0069612A" w:rsidP="0069612A">
            <w:pPr>
              <w:rPr>
                <w:b/>
              </w:rPr>
            </w:pPr>
            <w:r w:rsidRPr="0069612A">
              <w:rPr>
                <w:b/>
              </w:rPr>
              <w:t xml:space="preserve">Y4 </w:t>
            </w:r>
            <w:r w:rsidRPr="0069612A">
              <w:t>(30)</w:t>
            </w:r>
          </w:p>
        </w:tc>
        <w:tc>
          <w:tcPr>
            <w:tcW w:w="1701" w:type="dxa"/>
          </w:tcPr>
          <w:p w14:paraId="1EEE60D3" w14:textId="77777777" w:rsidR="0069612A" w:rsidRPr="006C2BB8" w:rsidRDefault="0069612A" w:rsidP="0069612A">
            <w:pPr>
              <w:rPr>
                <w:highlight w:val="yellow"/>
              </w:rPr>
            </w:pPr>
            <w:r w:rsidRPr="006C2BB8">
              <w:rPr>
                <w:highlight w:val="yellow"/>
              </w:rPr>
              <w:t>16 (53%)</w:t>
            </w:r>
          </w:p>
        </w:tc>
        <w:tc>
          <w:tcPr>
            <w:tcW w:w="1560" w:type="dxa"/>
          </w:tcPr>
          <w:p w14:paraId="3A0548E8" w14:textId="77777777" w:rsidR="0069612A" w:rsidRPr="006C2BB8" w:rsidRDefault="0069612A" w:rsidP="0069612A">
            <w:pPr>
              <w:rPr>
                <w:highlight w:val="yellow"/>
              </w:rPr>
            </w:pPr>
            <w:r w:rsidRPr="006C2BB8">
              <w:rPr>
                <w:highlight w:val="yellow"/>
              </w:rPr>
              <w:t>13 (48%)</w:t>
            </w:r>
          </w:p>
        </w:tc>
        <w:tc>
          <w:tcPr>
            <w:tcW w:w="1559" w:type="dxa"/>
          </w:tcPr>
          <w:p w14:paraId="77CAC658" w14:textId="77777777" w:rsidR="0069612A" w:rsidRPr="0069612A" w:rsidRDefault="0069612A" w:rsidP="0069612A">
            <w:r w:rsidRPr="0069612A">
              <w:t>17 (63%)</w:t>
            </w:r>
          </w:p>
        </w:tc>
        <w:tc>
          <w:tcPr>
            <w:tcW w:w="1559" w:type="dxa"/>
            <w:shd w:val="clear" w:color="auto" w:fill="D9D9D9" w:themeFill="background1" w:themeFillShade="D9"/>
          </w:tcPr>
          <w:p w14:paraId="3928048C" w14:textId="77777777" w:rsidR="0069612A" w:rsidRPr="0069612A" w:rsidRDefault="0069612A" w:rsidP="0069612A">
            <w:r w:rsidRPr="0069612A">
              <w:t>10 (33%)</w:t>
            </w:r>
          </w:p>
        </w:tc>
        <w:tc>
          <w:tcPr>
            <w:tcW w:w="1559" w:type="dxa"/>
            <w:shd w:val="clear" w:color="auto" w:fill="D9D9D9" w:themeFill="background1" w:themeFillShade="D9"/>
          </w:tcPr>
          <w:p w14:paraId="4F433BF6" w14:textId="77777777" w:rsidR="0069612A" w:rsidRPr="0069612A" w:rsidRDefault="0069612A" w:rsidP="0069612A">
            <w:r w:rsidRPr="006C2BB8">
              <w:rPr>
                <w:highlight w:val="yellow"/>
              </w:rPr>
              <w:t>11 (40%)</w:t>
            </w:r>
          </w:p>
        </w:tc>
        <w:tc>
          <w:tcPr>
            <w:tcW w:w="1560" w:type="dxa"/>
            <w:shd w:val="clear" w:color="auto" w:fill="D9D9D9" w:themeFill="background1" w:themeFillShade="D9"/>
          </w:tcPr>
          <w:p w14:paraId="616022AF" w14:textId="77777777" w:rsidR="0069612A" w:rsidRPr="0069612A" w:rsidRDefault="0069612A" w:rsidP="0069612A">
            <w:r w:rsidRPr="0069612A">
              <w:t>9 (30)</w:t>
            </w:r>
          </w:p>
        </w:tc>
        <w:tc>
          <w:tcPr>
            <w:tcW w:w="1559" w:type="dxa"/>
            <w:shd w:val="clear" w:color="auto" w:fill="A6A6A6" w:themeFill="background1" w:themeFillShade="A6"/>
          </w:tcPr>
          <w:p w14:paraId="401F7701" w14:textId="77777777" w:rsidR="0069612A" w:rsidRPr="0069612A" w:rsidRDefault="0069612A" w:rsidP="0069612A">
            <w:r w:rsidRPr="0069612A">
              <w:t>4 (13%)</w:t>
            </w:r>
          </w:p>
        </w:tc>
        <w:tc>
          <w:tcPr>
            <w:tcW w:w="1417" w:type="dxa"/>
            <w:shd w:val="clear" w:color="auto" w:fill="A6A6A6" w:themeFill="background1" w:themeFillShade="A6"/>
          </w:tcPr>
          <w:p w14:paraId="12253CA1" w14:textId="77777777" w:rsidR="0069612A" w:rsidRPr="0069612A" w:rsidRDefault="0069612A" w:rsidP="0069612A">
            <w:r w:rsidRPr="0069612A">
              <w:t>6 (20%)</w:t>
            </w:r>
          </w:p>
        </w:tc>
        <w:tc>
          <w:tcPr>
            <w:tcW w:w="1560" w:type="dxa"/>
            <w:shd w:val="clear" w:color="auto" w:fill="A6A6A6" w:themeFill="background1" w:themeFillShade="A6"/>
          </w:tcPr>
          <w:p w14:paraId="3993A91B" w14:textId="77777777" w:rsidR="0069612A" w:rsidRPr="0069612A" w:rsidRDefault="0069612A" w:rsidP="0069612A">
            <w:r w:rsidRPr="0069612A">
              <w:t>4 (13%)</w:t>
            </w:r>
          </w:p>
        </w:tc>
      </w:tr>
      <w:tr w:rsidR="0069612A" w:rsidRPr="0069612A" w14:paraId="12A60841" w14:textId="77777777" w:rsidTr="0069612A">
        <w:trPr>
          <w:trHeight w:val="452"/>
        </w:trPr>
        <w:tc>
          <w:tcPr>
            <w:tcW w:w="1276" w:type="dxa"/>
          </w:tcPr>
          <w:p w14:paraId="41ADF778" w14:textId="77777777" w:rsidR="0069612A" w:rsidRPr="0069612A" w:rsidRDefault="0069612A" w:rsidP="0069612A">
            <w:pPr>
              <w:rPr>
                <w:b/>
              </w:rPr>
            </w:pPr>
            <w:r w:rsidRPr="0069612A">
              <w:rPr>
                <w:b/>
              </w:rPr>
              <w:t xml:space="preserve">Y5 </w:t>
            </w:r>
            <w:r w:rsidRPr="0069612A">
              <w:t>(27)</w:t>
            </w:r>
          </w:p>
        </w:tc>
        <w:tc>
          <w:tcPr>
            <w:tcW w:w="1701" w:type="dxa"/>
          </w:tcPr>
          <w:p w14:paraId="49FB8C3D" w14:textId="77777777" w:rsidR="0069612A" w:rsidRPr="0069612A" w:rsidRDefault="0069612A" w:rsidP="0069612A">
            <w:r w:rsidRPr="0069612A">
              <w:t>17 (62%)</w:t>
            </w:r>
          </w:p>
        </w:tc>
        <w:tc>
          <w:tcPr>
            <w:tcW w:w="1560" w:type="dxa"/>
          </w:tcPr>
          <w:p w14:paraId="523FCB3D" w14:textId="77777777" w:rsidR="0069612A" w:rsidRPr="0069612A" w:rsidRDefault="0069612A" w:rsidP="0069612A">
            <w:r w:rsidRPr="006C2BB8">
              <w:rPr>
                <w:highlight w:val="yellow"/>
              </w:rPr>
              <w:t>14 (52%)</w:t>
            </w:r>
          </w:p>
        </w:tc>
        <w:tc>
          <w:tcPr>
            <w:tcW w:w="1559" w:type="dxa"/>
          </w:tcPr>
          <w:p w14:paraId="7464BD25" w14:textId="77777777" w:rsidR="0069612A" w:rsidRPr="0069612A" w:rsidRDefault="0069612A" w:rsidP="0069612A">
            <w:r w:rsidRPr="0069612A">
              <w:t>18 (66%)</w:t>
            </w:r>
          </w:p>
        </w:tc>
        <w:tc>
          <w:tcPr>
            <w:tcW w:w="1559" w:type="dxa"/>
            <w:shd w:val="clear" w:color="auto" w:fill="D9D9D9" w:themeFill="background1" w:themeFillShade="D9"/>
          </w:tcPr>
          <w:p w14:paraId="57B93A69" w14:textId="77777777" w:rsidR="0069612A" w:rsidRPr="0069612A" w:rsidRDefault="0069612A" w:rsidP="0069612A">
            <w:r w:rsidRPr="0069612A">
              <w:t>5 (18%)</w:t>
            </w:r>
          </w:p>
        </w:tc>
        <w:tc>
          <w:tcPr>
            <w:tcW w:w="1559" w:type="dxa"/>
            <w:shd w:val="clear" w:color="auto" w:fill="D9D9D9" w:themeFill="background1" w:themeFillShade="D9"/>
          </w:tcPr>
          <w:p w14:paraId="7802C5A7" w14:textId="77777777" w:rsidR="0069612A" w:rsidRPr="006C2BB8" w:rsidRDefault="0069612A" w:rsidP="0069612A">
            <w:pPr>
              <w:rPr>
                <w:highlight w:val="yellow"/>
              </w:rPr>
            </w:pPr>
            <w:r w:rsidRPr="006C2BB8">
              <w:rPr>
                <w:highlight w:val="yellow"/>
              </w:rPr>
              <w:t>8 (29%)</w:t>
            </w:r>
          </w:p>
        </w:tc>
        <w:tc>
          <w:tcPr>
            <w:tcW w:w="1560" w:type="dxa"/>
            <w:shd w:val="clear" w:color="auto" w:fill="D9D9D9" w:themeFill="background1" w:themeFillShade="D9"/>
          </w:tcPr>
          <w:p w14:paraId="1D658D02" w14:textId="77777777" w:rsidR="0069612A" w:rsidRPr="0069612A" w:rsidRDefault="0069612A" w:rsidP="0069612A">
            <w:r w:rsidRPr="0069612A">
              <w:t>5 (18%)</w:t>
            </w:r>
          </w:p>
        </w:tc>
        <w:tc>
          <w:tcPr>
            <w:tcW w:w="1559" w:type="dxa"/>
            <w:shd w:val="clear" w:color="auto" w:fill="A6A6A6" w:themeFill="background1" w:themeFillShade="A6"/>
          </w:tcPr>
          <w:p w14:paraId="5BDF4A6F" w14:textId="77777777" w:rsidR="0069612A" w:rsidRPr="0069612A" w:rsidRDefault="0069612A" w:rsidP="0069612A">
            <w:r w:rsidRPr="0069612A">
              <w:t>5 (18%)</w:t>
            </w:r>
          </w:p>
        </w:tc>
        <w:tc>
          <w:tcPr>
            <w:tcW w:w="1417" w:type="dxa"/>
            <w:shd w:val="clear" w:color="auto" w:fill="A6A6A6" w:themeFill="background1" w:themeFillShade="A6"/>
          </w:tcPr>
          <w:p w14:paraId="203773D2" w14:textId="77777777" w:rsidR="0069612A" w:rsidRPr="0069612A" w:rsidRDefault="0069612A" w:rsidP="0069612A">
            <w:r w:rsidRPr="0069612A">
              <w:t>5 (18%)</w:t>
            </w:r>
          </w:p>
        </w:tc>
        <w:tc>
          <w:tcPr>
            <w:tcW w:w="1560" w:type="dxa"/>
            <w:shd w:val="clear" w:color="auto" w:fill="A6A6A6" w:themeFill="background1" w:themeFillShade="A6"/>
          </w:tcPr>
          <w:p w14:paraId="0A62FD8F" w14:textId="77777777" w:rsidR="0069612A" w:rsidRPr="0069612A" w:rsidRDefault="0069612A" w:rsidP="0069612A">
            <w:r w:rsidRPr="0069612A">
              <w:t>4 (14%)</w:t>
            </w:r>
          </w:p>
        </w:tc>
      </w:tr>
      <w:tr w:rsidR="0069612A" w:rsidRPr="0069612A" w14:paraId="1759D2D4" w14:textId="77777777" w:rsidTr="0069612A">
        <w:trPr>
          <w:trHeight w:val="505"/>
        </w:trPr>
        <w:tc>
          <w:tcPr>
            <w:tcW w:w="1276" w:type="dxa"/>
            <w:tcBorders>
              <w:bottom w:val="single" w:sz="4" w:space="0" w:color="auto"/>
            </w:tcBorders>
          </w:tcPr>
          <w:p w14:paraId="06976D06" w14:textId="77777777" w:rsidR="0069612A" w:rsidRPr="0069612A" w:rsidRDefault="0069612A" w:rsidP="0069612A">
            <w:pPr>
              <w:rPr>
                <w:b/>
              </w:rPr>
            </w:pPr>
            <w:r w:rsidRPr="0069612A">
              <w:rPr>
                <w:b/>
              </w:rPr>
              <w:t xml:space="preserve">Y6 </w:t>
            </w:r>
            <w:r w:rsidRPr="0069612A">
              <w:t>(24)</w:t>
            </w:r>
          </w:p>
        </w:tc>
        <w:tc>
          <w:tcPr>
            <w:tcW w:w="1701" w:type="dxa"/>
            <w:tcBorders>
              <w:bottom w:val="single" w:sz="4" w:space="0" w:color="auto"/>
            </w:tcBorders>
          </w:tcPr>
          <w:p w14:paraId="7A3E36A0" w14:textId="77777777" w:rsidR="0069612A" w:rsidRPr="0069612A" w:rsidRDefault="0069612A" w:rsidP="0069612A">
            <w:r w:rsidRPr="0069612A">
              <w:t>19 (79%)</w:t>
            </w:r>
          </w:p>
        </w:tc>
        <w:tc>
          <w:tcPr>
            <w:tcW w:w="1560" w:type="dxa"/>
          </w:tcPr>
          <w:p w14:paraId="3FC281D9" w14:textId="77777777" w:rsidR="0069612A" w:rsidRPr="006C2BB8" w:rsidRDefault="0069612A" w:rsidP="0069612A">
            <w:pPr>
              <w:rPr>
                <w:highlight w:val="yellow"/>
              </w:rPr>
            </w:pPr>
            <w:r w:rsidRPr="006C2BB8">
              <w:rPr>
                <w:highlight w:val="yellow"/>
              </w:rPr>
              <w:t>13 (54%)</w:t>
            </w:r>
          </w:p>
        </w:tc>
        <w:tc>
          <w:tcPr>
            <w:tcW w:w="1559" w:type="dxa"/>
          </w:tcPr>
          <w:p w14:paraId="23FC4710" w14:textId="77777777" w:rsidR="0069612A" w:rsidRPr="006C2BB8" w:rsidRDefault="0069612A" w:rsidP="0069612A">
            <w:pPr>
              <w:rPr>
                <w:highlight w:val="yellow"/>
              </w:rPr>
            </w:pPr>
            <w:r w:rsidRPr="006C2BB8">
              <w:rPr>
                <w:highlight w:val="yellow"/>
              </w:rPr>
              <w:t>14 (58%)</w:t>
            </w:r>
          </w:p>
        </w:tc>
        <w:tc>
          <w:tcPr>
            <w:tcW w:w="1559" w:type="dxa"/>
            <w:tcBorders>
              <w:bottom w:val="single" w:sz="4" w:space="0" w:color="auto"/>
            </w:tcBorders>
            <w:shd w:val="clear" w:color="auto" w:fill="D9D9D9" w:themeFill="background1" w:themeFillShade="D9"/>
          </w:tcPr>
          <w:p w14:paraId="203EF380" w14:textId="77777777" w:rsidR="0069612A" w:rsidRPr="0069612A" w:rsidRDefault="0069612A" w:rsidP="0069612A">
            <w:r w:rsidRPr="0069612A">
              <w:t>3 (12%)</w:t>
            </w:r>
          </w:p>
        </w:tc>
        <w:tc>
          <w:tcPr>
            <w:tcW w:w="1559" w:type="dxa"/>
            <w:shd w:val="clear" w:color="auto" w:fill="D9D9D9" w:themeFill="background1" w:themeFillShade="D9"/>
          </w:tcPr>
          <w:p w14:paraId="2A10424E" w14:textId="77777777" w:rsidR="0069612A" w:rsidRPr="006C2BB8" w:rsidRDefault="0069612A" w:rsidP="0069612A">
            <w:pPr>
              <w:rPr>
                <w:highlight w:val="yellow"/>
              </w:rPr>
            </w:pPr>
            <w:r w:rsidRPr="006C2BB8">
              <w:rPr>
                <w:highlight w:val="yellow"/>
              </w:rPr>
              <w:t>8 (33%)</w:t>
            </w:r>
          </w:p>
        </w:tc>
        <w:tc>
          <w:tcPr>
            <w:tcW w:w="1560" w:type="dxa"/>
            <w:shd w:val="clear" w:color="auto" w:fill="D9D9D9" w:themeFill="background1" w:themeFillShade="D9"/>
          </w:tcPr>
          <w:p w14:paraId="4CCC64C8" w14:textId="77777777" w:rsidR="0069612A" w:rsidRPr="0069612A" w:rsidRDefault="0069612A" w:rsidP="0069612A">
            <w:r w:rsidRPr="006C2BB8">
              <w:rPr>
                <w:highlight w:val="yellow"/>
              </w:rPr>
              <w:t>9 (37%)</w:t>
            </w:r>
          </w:p>
        </w:tc>
        <w:tc>
          <w:tcPr>
            <w:tcW w:w="1559" w:type="dxa"/>
            <w:tcBorders>
              <w:bottom w:val="single" w:sz="4" w:space="0" w:color="auto"/>
            </w:tcBorders>
            <w:shd w:val="clear" w:color="auto" w:fill="A6A6A6" w:themeFill="background1" w:themeFillShade="A6"/>
          </w:tcPr>
          <w:p w14:paraId="58431A35" w14:textId="77777777" w:rsidR="0069612A" w:rsidRPr="0069612A" w:rsidRDefault="0069612A" w:rsidP="0069612A">
            <w:r w:rsidRPr="0069612A">
              <w:t>2 (8%)</w:t>
            </w:r>
          </w:p>
        </w:tc>
        <w:tc>
          <w:tcPr>
            <w:tcW w:w="1417" w:type="dxa"/>
            <w:shd w:val="clear" w:color="auto" w:fill="A6A6A6" w:themeFill="background1" w:themeFillShade="A6"/>
          </w:tcPr>
          <w:p w14:paraId="21513D05" w14:textId="77777777" w:rsidR="0069612A" w:rsidRPr="0069612A" w:rsidRDefault="0069612A" w:rsidP="0069612A">
            <w:r w:rsidRPr="0069612A">
              <w:t>3 (12%)</w:t>
            </w:r>
          </w:p>
        </w:tc>
        <w:tc>
          <w:tcPr>
            <w:tcW w:w="1560" w:type="dxa"/>
            <w:shd w:val="clear" w:color="auto" w:fill="A6A6A6" w:themeFill="background1" w:themeFillShade="A6"/>
          </w:tcPr>
          <w:p w14:paraId="449EB385" w14:textId="77777777" w:rsidR="0069612A" w:rsidRPr="0069612A" w:rsidRDefault="0069612A" w:rsidP="0069612A">
            <w:r w:rsidRPr="0069612A">
              <w:t>1 (4%)</w:t>
            </w:r>
          </w:p>
        </w:tc>
      </w:tr>
      <w:tr w:rsidR="0069612A" w:rsidRPr="0069612A" w14:paraId="782BB999" w14:textId="77777777" w:rsidTr="0069612A">
        <w:trPr>
          <w:trHeight w:val="505"/>
        </w:trPr>
        <w:tc>
          <w:tcPr>
            <w:tcW w:w="1276" w:type="dxa"/>
            <w:shd w:val="clear" w:color="auto" w:fill="FDE9D9" w:themeFill="accent6" w:themeFillTint="33"/>
          </w:tcPr>
          <w:p w14:paraId="6BF9DCDD" w14:textId="77777777" w:rsidR="0069612A" w:rsidRPr="0069612A" w:rsidRDefault="0069612A" w:rsidP="0069612A">
            <w:pPr>
              <w:rPr>
                <w:b/>
              </w:rPr>
            </w:pPr>
            <w:r w:rsidRPr="0069612A">
              <w:rPr>
                <w:b/>
              </w:rPr>
              <w:t>Total</w:t>
            </w:r>
          </w:p>
        </w:tc>
        <w:tc>
          <w:tcPr>
            <w:tcW w:w="1701" w:type="dxa"/>
            <w:shd w:val="clear" w:color="auto" w:fill="FDE9D9" w:themeFill="accent6" w:themeFillTint="33"/>
          </w:tcPr>
          <w:p w14:paraId="6B9AFFEC" w14:textId="77777777" w:rsidR="0069612A" w:rsidRPr="0069612A" w:rsidRDefault="0069612A" w:rsidP="0069612A">
            <w:pPr>
              <w:rPr>
                <w:b/>
              </w:rPr>
            </w:pPr>
            <w:r w:rsidRPr="0069612A">
              <w:rPr>
                <w:b/>
              </w:rPr>
              <w:t xml:space="preserve">68 </w:t>
            </w:r>
          </w:p>
        </w:tc>
        <w:tc>
          <w:tcPr>
            <w:tcW w:w="1560" w:type="dxa"/>
            <w:shd w:val="clear" w:color="auto" w:fill="FDE9D9" w:themeFill="accent6" w:themeFillTint="33"/>
          </w:tcPr>
          <w:p w14:paraId="3458E151" w14:textId="77777777" w:rsidR="0069612A" w:rsidRPr="0069612A" w:rsidRDefault="0069612A" w:rsidP="0069612A">
            <w:pPr>
              <w:rPr>
                <w:b/>
              </w:rPr>
            </w:pPr>
            <w:r w:rsidRPr="0069612A">
              <w:rPr>
                <w:b/>
              </w:rPr>
              <w:t xml:space="preserve">42 </w:t>
            </w:r>
          </w:p>
        </w:tc>
        <w:tc>
          <w:tcPr>
            <w:tcW w:w="1559" w:type="dxa"/>
            <w:shd w:val="clear" w:color="auto" w:fill="FDE9D9" w:themeFill="accent6" w:themeFillTint="33"/>
          </w:tcPr>
          <w:p w14:paraId="50C8BF82" w14:textId="77777777" w:rsidR="0069612A" w:rsidRPr="0069612A" w:rsidRDefault="0069612A" w:rsidP="0069612A">
            <w:pPr>
              <w:rPr>
                <w:b/>
              </w:rPr>
            </w:pPr>
            <w:r w:rsidRPr="0069612A">
              <w:rPr>
                <w:b/>
              </w:rPr>
              <w:t xml:space="preserve">61 </w:t>
            </w:r>
          </w:p>
        </w:tc>
        <w:tc>
          <w:tcPr>
            <w:tcW w:w="1559" w:type="dxa"/>
            <w:shd w:val="clear" w:color="auto" w:fill="FDE9D9" w:themeFill="accent6" w:themeFillTint="33"/>
          </w:tcPr>
          <w:p w14:paraId="4067CB53" w14:textId="77777777" w:rsidR="0069612A" w:rsidRPr="0069612A" w:rsidRDefault="0069612A" w:rsidP="0069612A">
            <w:pPr>
              <w:rPr>
                <w:b/>
              </w:rPr>
            </w:pPr>
            <w:r w:rsidRPr="0069612A">
              <w:rPr>
                <w:b/>
              </w:rPr>
              <w:t xml:space="preserve">22 </w:t>
            </w:r>
          </w:p>
        </w:tc>
        <w:tc>
          <w:tcPr>
            <w:tcW w:w="1559" w:type="dxa"/>
            <w:shd w:val="clear" w:color="auto" w:fill="FDE9D9" w:themeFill="accent6" w:themeFillTint="33"/>
          </w:tcPr>
          <w:p w14:paraId="68EFF49C" w14:textId="77777777" w:rsidR="0069612A" w:rsidRPr="0069612A" w:rsidRDefault="0069612A" w:rsidP="0069612A">
            <w:pPr>
              <w:rPr>
                <w:b/>
              </w:rPr>
            </w:pPr>
            <w:r w:rsidRPr="0069612A">
              <w:rPr>
                <w:b/>
              </w:rPr>
              <w:t xml:space="preserve">33 </w:t>
            </w:r>
          </w:p>
        </w:tc>
        <w:tc>
          <w:tcPr>
            <w:tcW w:w="1560" w:type="dxa"/>
            <w:shd w:val="clear" w:color="auto" w:fill="FDE9D9" w:themeFill="accent6" w:themeFillTint="33"/>
          </w:tcPr>
          <w:p w14:paraId="5887ED1F" w14:textId="77777777" w:rsidR="0069612A" w:rsidRPr="0069612A" w:rsidRDefault="0069612A" w:rsidP="0069612A">
            <w:pPr>
              <w:rPr>
                <w:b/>
              </w:rPr>
            </w:pPr>
            <w:r w:rsidRPr="0069612A">
              <w:rPr>
                <w:b/>
              </w:rPr>
              <w:t xml:space="preserve">29 </w:t>
            </w:r>
          </w:p>
        </w:tc>
        <w:tc>
          <w:tcPr>
            <w:tcW w:w="1559" w:type="dxa"/>
            <w:shd w:val="clear" w:color="auto" w:fill="FDE9D9" w:themeFill="accent6" w:themeFillTint="33"/>
          </w:tcPr>
          <w:p w14:paraId="71A0A00A" w14:textId="77777777" w:rsidR="0069612A" w:rsidRPr="0069612A" w:rsidRDefault="0069612A" w:rsidP="0069612A">
            <w:pPr>
              <w:rPr>
                <w:b/>
              </w:rPr>
            </w:pPr>
            <w:r w:rsidRPr="0069612A">
              <w:rPr>
                <w:b/>
              </w:rPr>
              <w:t xml:space="preserve">18 </w:t>
            </w:r>
          </w:p>
        </w:tc>
        <w:tc>
          <w:tcPr>
            <w:tcW w:w="1417" w:type="dxa"/>
            <w:shd w:val="clear" w:color="auto" w:fill="FDE9D9" w:themeFill="accent6" w:themeFillTint="33"/>
          </w:tcPr>
          <w:p w14:paraId="3A28A169" w14:textId="77777777" w:rsidR="0069612A" w:rsidRPr="0069612A" w:rsidRDefault="0069612A" w:rsidP="0069612A">
            <w:pPr>
              <w:rPr>
                <w:b/>
              </w:rPr>
            </w:pPr>
            <w:r w:rsidRPr="0069612A">
              <w:rPr>
                <w:b/>
              </w:rPr>
              <w:t xml:space="preserve">20 </w:t>
            </w:r>
          </w:p>
        </w:tc>
        <w:tc>
          <w:tcPr>
            <w:tcW w:w="1560" w:type="dxa"/>
            <w:shd w:val="clear" w:color="auto" w:fill="FDE9D9" w:themeFill="accent6" w:themeFillTint="33"/>
          </w:tcPr>
          <w:p w14:paraId="43C503B3" w14:textId="77777777" w:rsidR="0069612A" w:rsidRPr="0069612A" w:rsidRDefault="0069612A" w:rsidP="0069612A">
            <w:pPr>
              <w:rPr>
                <w:b/>
              </w:rPr>
            </w:pPr>
            <w:r w:rsidRPr="0069612A">
              <w:rPr>
                <w:b/>
              </w:rPr>
              <w:t xml:space="preserve">14 </w:t>
            </w:r>
          </w:p>
        </w:tc>
      </w:tr>
    </w:tbl>
    <w:p w14:paraId="1F39FACC" w14:textId="77777777" w:rsidR="0069612A" w:rsidRDefault="0069612A"/>
    <w:p w14:paraId="0E571856" w14:textId="77777777" w:rsidR="0069612A" w:rsidRDefault="0069612A"/>
    <w:p w14:paraId="3E4D65DF" w14:textId="77777777" w:rsidR="0069612A" w:rsidRDefault="0069612A"/>
    <w:tbl>
      <w:tblPr>
        <w:tblStyle w:val="TableGrid"/>
        <w:tblW w:w="0" w:type="auto"/>
        <w:tblLook w:val="04A0" w:firstRow="1" w:lastRow="0" w:firstColumn="1" w:lastColumn="0" w:noHBand="0" w:noVBand="1"/>
      </w:tblPr>
      <w:tblGrid>
        <w:gridCol w:w="1809"/>
        <w:gridCol w:w="13543"/>
      </w:tblGrid>
      <w:tr w:rsidR="0069612A" w14:paraId="088DB6E4" w14:textId="77777777" w:rsidTr="0069612A">
        <w:tc>
          <w:tcPr>
            <w:tcW w:w="15352" w:type="dxa"/>
            <w:gridSpan w:val="2"/>
            <w:shd w:val="clear" w:color="auto" w:fill="B8CCE4" w:themeFill="accent1" w:themeFillTint="66"/>
          </w:tcPr>
          <w:p w14:paraId="3F12DFBE" w14:textId="6ADEA169" w:rsidR="0069612A" w:rsidRDefault="0069612A">
            <w:r w:rsidRPr="0069612A">
              <w:rPr>
                <w:b/>
              </w:rPr>
              <w:t>Identified impact of lockdown</w:t>
            </w:r>
          </w:p>
          <w:p w14:paraId="393A319A" w14:textId="77777777" w:rsidR="0069612A" w:rsidRDefault="0069612A"/>
        </w:tc>
      </w:tr>
      <w:tr w:rsidR="0069612A" w14:paraId="6F099EFB" w14:textId="77777777" w:rsidTr="0069612A">
        <w:tc>
          <w:tcPr>
            <w:tcW w:w="1809" w:type="dxa"/>
            <w:shd w:val="clear" w:color="auto" w:fill="B8CCE4" w:themeFill="accent1" w:themeFillTint="66"/>
          </w:tcPr>
          <w:p w14:paraId="3FAE096B" w14:textId="79E333A6" w:rsidR="0069612A" w:rsidRDefault="0069612A">
            <w:r>
              <w:t>Maths</w:t>
            </w:r>
          </w:p>
        </w:tc>
        <w:tc>
          <w:tcPr>
            <w:tcW w:w="13543" w:type="dxa"/>
          </w:tcPr>
          <w:p w14:paraId="5DD01D9B" w14:textId="0F813401" w:rsidR="0069612A" w:rsidRDefault="00E24162">
            <w:r>
              <w:t xml:space="preserve">Children have missed the content from the summer term. Recall of basic skills such as times tables, number bonds, addition facts, etc. have been affected. Attainment in all year groups has been impacted by broadly 15%, with the exception of Y2. Data has been gathered by using Puma and Pira assessments.  </w:t>
            </w:r>
            <w:r w:rsidR="00AF45B9">
              <w:t>Overall</w:t>
            </w:r>
            <w:r>
              <w:t>, we feel Maths has been more impacted than literacy</w:t>
            </w:r>
            <w:r w:rsidR="00E953EB">
              <w:t xml:space="preserve"> during the second lockdown. However, if the significant proportions of pupils in the older year groups (30%-40% in Y4</w:t>
            </w:r>
            <w:proofErr w:type="gramStart"/>
            <w:r w:rsidR="00E953EB">
              <w:t>,5,6</w:t>
            </w:r>
            <w:proofErr w:type="gramEnd"/>
            <w:r w:rsidR="00E953EB">
              <w:t xml:space="preserve">)who are only slightly behind can be effectively targeted over the summer term, this will bring us up to our School Pre-pandemic target of 80% of pupils on track.  </w:t>
            </w:r>
            <w:r>
              <w:t xml:space="preserve"> </w:t>
            </w:r>
          </w:p>
          <w:p w14:paraId="12AC1761" w14:textId="77777777" w:rsidR="0069612A" w:rsidRDefault="0069612A"/>
        </w:tc>
      </w:tr>
      <w:tr w:rsidR="0069612A" w14:paraId="5FA66DB6" w14:textId="77777777" w:rsidTr="0069612A">
        <w:tc>
          <w:tcPr>
            <w:tcW w:w="1809" w:type="dxa"/>
            <w:shd w:val="clear" w:color="auto" w:fill="B8CCE4" w:themeFill="accent1" w:themeFillTint="66"/>
          </w:tcPr>
          <w:p w14:paraId="5F24EC9B" w14:textId="1C4166E9" w:rsidR="0069612A" w:rsidRDefault="0069612A">
            <w:r>
              <w:t>Writing</w:t>
            </w:r>
          </w:p>
        </w:tc>
        <w:tc>
          <w:tcPr>
            <w:tcW w:w="13543" w:type="dxa"/>
          </w:tcPr>
          <w:p w14:paraId="2695E607" w14:textId="675CC71A" w:rsidR="0069612A" w:rsidRDefault="00C4623C">
            <w:r>
              <w:t xml:space="preserve">Regular writing tasks were set during the Spring lockdown as part of ‘live’ online teaching, however, </w:t>
            </w:r>
            <w:r w:rsidR="00CB67A9">
              <w:t xml:space="preserve">children have missed out on the essential practising of writing skills and the consistency of teacher expectation which would normally run alongside written pieces which is harder to convey with physical distance. Children appear to have lost some of their writing stamina in extended pieces. Some basic skills in letter formation and SPAG have been observed as weaker and need regular emphasis over the Summer term. </w:t>
            </w:r>
          </w:p>
        </w:tc>
      </w:tr>
      <w:tr w:rsidR="0069612A" w14:paraId="1E982F78" w14:textId="77777777" w:rsidTr="0069612A">
        <w:tc>
          <w:tcPr>
            <w:tcW w:w="1809" w:type="dxa"/>
            <w:shd w:val="clear" w:color="auto" w:fill="B8CCE4" w:themeFill="accent1" w:themeFillTint="66"/>
          </w:tcPr>
          <w:p w14:paraId="0ECBD0C9" w14:textId="1415B903" w:rsidR="0069612A" w:rsidRDefault="0069612A">
            <w:r>
              <w:t>Reading</w:t>
            </w:r>
          </w:p>
        </w:tc>
        <w:tc>
          <w:tcPr>
            <w:tcW w:w="13543" w:type="dxa"/>
          </w:tcPr>
          <w:p w14:paraId="3C15778D" w14:textId="42A2F06C" w:rsidR="0069612A" w:rsidRDefault="00A916BC">
            <w:r>
              <w:t xml:space="preserve">Data shows that Y1 has been severely impacted by the lack of regular reading opportunities. These children get through </w:t>
            </w:r>
            <w:r w:rsidR="005A2E33">
              <w:t xml:space="preserve">books much more quickly than older children and have missed being able to access physical books and the quick changeover to new reading material. </w:t>
            </w:r>
            <w:r w:rsidR="003A3B17">
              <w:t>Y1 have significant gaps in their phonic understanding, as do some Y2 children. Opportunities for daily reading with most children has been variable during lockdown with some children</w:t>
            </w:r>
            <w:r w:rsidR="00AF45B9">
              <w:t xml:space="preserve"> progressing well, others (often</w:t>
            </w:r>
            <w:bookmarkStart w:id="0" w:name="_GoBack"/>
            <w:bookmarkEnd w:id="0"/>
            <w:r w:rsidR="003A3B17">
              <w:t xml:space="preserve"> the weaker pupils) not so, therefore exaggerating attainment disparity. Year 3, in particular, has a group of weaker readers/dyslexic pupils who have struggled with online teaching and specific teaching of reading has been less effective.</w:t>
            </w:r>
          </w:p>
        </w:tc>
      </w:tr>
      <w:tr w:rsidR="0069612A" w14:paraId="06573813" w14:textId="77777777" w:rsidTr="0069612A">
        <w:tc>
          <w:tcPr>
            <w:tcW w:w="1809" w:type="dxa"/>
            <w:shd w:val="clear" w:color="auto" w:fill="B8CCE4" w:themeFill="accent1" w:themeFillTint="66"/>
          </w:tcPr>
          <w:p w14:paraId="4F61E0DD" w14:textId="20675CB1" w:rsidR="0069612A" w:rsidRDefault="0069612A">
            <w:r>
              <w:t>Non-Core</w:t>
            </w:r>
          </w:p>
        </w:tc>
        <w:tc>
          <w:tcPr>
            <w:tcW w:w="13543" w:type="dxa"/>
          </w:tcPr>
          <w:p w14:paraId="0FD621D8" w14:textId="7F76DD99" w:rsidR="0069612A" w:rsidRDefault="00A1508C">
            <w:r>
              <w:t xml:space="preserve">Most children have continued with topic related activities during lockdown through live teaching and independent study. What they have missed out on is the collaborative work and enrichment activities which usually take place to make each subject ‘come alive.’ </w:t>
            </w:r>
          </w:p>
          <w:p w14:paraId="50CBD73C" w14:textId="77777777" w:rsidR="0069612A" w:rsidRDefault="0069612A"/>
          <w:p w14:paraId="78FC690E" w14:textId="77777777" w:rsidR="0069612A" w:rsidRDefault="0069612A"/>
        </w:tc>
      </w:tr>
      <w:tr w:rsidR="0069612A" w14:paraId="5BCB4237" w14:textId="77777777" w:rsidTr="0069612A">
        <w:tc>
          <w:tcPr>
            <w:tcW w:w="1809" w:type="dxa"/>
            <w:shd w:val="clear" w:color="auto" w:fill="B8CCE4" w:themeFill="accent1" w:themeFillTint="66"/>
          </w:tcPr>
          <w:p w14:paraId="5B0ED94A" w14:textId="385BB969" w:rsidR="0069612A" w:rsidRDefault="0069612A">
            <w:r>
              <w:lastRenderedPageBreak/>
              <w:t>Social Emotional</w:t>
            </w:r>
          </w:p>
        </w:tc>
        <w:tc>
          <w:tcPr>
            <w:tcW w:w="13543" w:type="dxa"/>
          </w:tcPr>
          <w:p w14:paraId="63B2C20C" w14:textId="6B218090" w:rsidR="0069612A" w:rsidRDefault="00E9691E">
            <w:r>
              <w:t xml:space="preserve">We have asked all staff and parents to identify children they feel are exhibiting anxieties as a result of lockdown. </w:t>
            </w:r>
            <w:r w:rsidR="003A3B17">
              <w:t>A large number of pupils were initially apprehensive about the return to school</w:t>
            </w:r>
            <w:r w:rsidR="00A1508C">
              <w:t xml:space="preserve">, </w:t>
            </w:r>
            <w:r w:rsidR="003A3B17">
              <w:t>being around larger groups of people</w:t>
            </w:r>
            <w:r w:rsidR="00A1508C">
              <w:t xml:space="preserve"> and the new routines required</w:t>
            </w:r>
            <w:r w:rsidR="003A3B17">
              <w:t xml:space="preserve">. </w:t>
            </w:r>
            <w:r>
              <w:t xml:space="preserve">A </w:t>
            </w:r>
            <w:r w:rsidR="00A1508C">
              <w:t xml:space="preserve">significant </w:t>
            </w:r>
            <w:r>
              <w:t xml:space="preserve">number </w:t>
            </w:r>
            <w:r w:rsidR="00A1508C">
              <w:t xml:space="preserve">(20-30) </w:t>
            </w:r>
            <w:r>
              <w:t xml:space="preserve">of our children </w:t>
            </w:r>
            <w:r w:rsidR="003A3B17">
              <w:t xml:space="preserve">are showing visible signs of anxiety, i.e. chewing sleeves, hair fidgeting, physical ticks, stammers, etc. A small number of pupils </w:t>
            </w:r>
            <w:r w:rsidR="00A1508C">
              <w:t xml:space="preserve">(3) </w:t>
            </w:r>
            <w:r w:rsidR="003A3B17">
              <w:t xml:space="preserve">were identified by police/social services as part of serious safeguarding domestic incidents during lockdown. These cases have been logged on our CPOMs system and we continue to liaise with the families and authorities. </w:t>
            </w:r>
          </w:p>
        </w:tc>
      </w:tr>
    </w:tbl>
    <w:p w14:paraId="25A1B253" w14:textId="77777777" w:rsidR="0069612A" w:rsidRDefault="0069612A"/>
    <w:p w14:paraId="43A63C67" w14:textId="4D66EC51" w:rsidR="0069612A" w:rsidRDefault="0069612A" w:rsidP="006C2BB8"/>
    <w:p w14:paraId="69221F88" w14:textId="77777777" w:rsidR="00CF1B9B" w:rsidRPr="008B27BE" w:rsidRDefault="00CF1B9B"/>
    <w:tbl>
      <w:tblPr>
        <w:tblStyle w:val="TableGrid"/>
        <w:tblW w:w="0" w:type="auto"/>
        <w:tblLook w:val="04A0" w:firstRow="1" w:lastRow="0" w:firstColumn="1" w:lastColumn="0" w:noHBand="0" w:noVBand="1"/>
      </w:tblPr>
      <w:tblGrid>
        <w:gridCol w:w="4815"/>
        <w:gridCol w:w="4961"/>
        <w:gridCol w:w="3078"/>
        <w:gridCol w:w="1094"/>
        <w:gridCol w:w="1178"/>
      </w:tblGrid>
      <w:tr w:rsidR="002954A6" w:rsidRPr="00D20146" w14:paraId="1FC63ABB" w14:textId="77777777" w:rsidTr="000A739A">
        <w:tc>
          <w:tcPr>
            <w:tcW w:w="0" w:type="auto"/>
            <w:gridSpan w:val="5"/>
            <w:shd w:val="clear" w:color="auto" w:fill="95B3D7" w:themeFill="accent1" w:themeFillTint="99"/>
            <w:tcMar>
              <w:top w:w="57" w:type="dxa"/>
              <w:bottom w:w="57" w:type="dxa"/>
            </w:tcMar>
          </w:tcPr>
          <w:p w14:paraId="1FD3EA0A" w14:textId="124A385F" w:rsidR="006F0B6A" w:rsidRPr="000079DF" w:rsidRDefault="006D447D" w:rsidP="00C66FB4">
            <w:pPr>
              <w:rPr>
                <w:rFonts w:cs="Arial"/>
                <w:color w:val="FFFFFF" w:themeColor="background1"/>
                <w:sz w:val="20"/>
                <w:szCs w:val="20"/>
              </w:rPr>
            </w:pPr>
            <w:r w:rsidRPr="000079DF">
              <w:rPr>
                <w:rFonts w:cs="Arial"/>
                <w:b/>
                <w:color w:val="FFFFFF" w:themeColor="background1"/>
              </w:rPr>
              <w:t xml:space="preserve">Planned expenditure </w:t>
            </w:r>
            <w:r w:rsidR="000079DF">
              <w:rPr>
                <w:rFonts w:cs="Arial"/>
                <w:b/>
                <w:color w:val="FFFFFF" w:themeColor="background1"/>
              </w:rPr>
              <w:t xml:space="preserve">- </w:t>
            </w:r>
            <w:r w:rsidR="000079DF" w:rsidRPr="000079DF">
              <w:rPr>
                <w:rFonts w:cs="Arial"/>
                <w:color w:val="FFFFFF" w:themeColor="background1"/>
                <w:sz w:val="20"/>
                <w:szCs w:val="20"/>
              </w:rPr>
              <w:t>The headings below are grouped into the categories outlined in the Education Endowment Foundation’s coronavirus support guide for schools)</w:t>
            </w:r>
          </w:p>
        </w:tc>
      </w:tr>
      <w:tr w:rsidR="002954A6" w:rsidRPr="00D20146" w14:paraId="272DD5F0" w14:textId="77777777" w:rsidTr="000A739A">
        <w:tc>
          <w:tcPr>
            <w:tcW w:w="0" w:type="auto"/>
            <w:gridSpan w:val="5"/>
            <w:shd w:val="clear" w:color="auto" w:fill="95B3D7" w:themeFill="accent1" w:themeFillTint="99"/>
            <w:tcMar>
              <w:top w:w="57" w:type="dxa"/>
              <w:bottom w:w="57" w:type="dxa"/>
            </w:tcMar>
          </w:tcPr>
          <w:p w14:paraId="47F54390" w14:textId="10E8F4A5" w:rsidR="006D447D" w:rsidRPr="00D20146" w:rsidRDefault="00C66FB4" w:rsidP="006F2883">
            <w:pPr>
              <w:pStyle w:val="ListParagraph"/>
              <w:numPr>
                <w:ilvl w:val="0"/>
                <w:numId w:val="14"/>
              </w:numPr>
              <w:ind w:left="426" w:hanging="142"/>
              <w:rPr>
                <w:rFonts w:cs="Arial"/>
                <w:b/>
                <w:sz w:val="20"/>
                <w:szCs w:val="20"/>
              </w:rPr>
            </w:pPr>
            <w:r>
              <w:rPr>
                <w:rFonts w:cs="Arial"/>
                <w:b/>
                <w:sz w:val="20"/>
                <w:szCs w:val="20"/>
              </w:rPr>
              <w:t xml:space="preserve">Teaching and </w:t>
            </w:r>
            <w:r w:rsidR="00700F53">
              <w:rPr>
                <w:rFonts w:cs="Arial"/>
                <w:b/>
                <w:sz w:val="20"/>
                <w:szCs w:val="20"/>
              </w:rPr>
              <w:t xml:space="preserve">related </w:t>
            </w:r>
            <w:r>
              <w:rPr>
                <w:rFonts w:cs="Arial"/>
                <w:b/>
                <w:sz w:val="20"/>
                <w:szCs w:val="20"/>
              </w:rPr>
              <w:t>whole-school strategies</w:t>
            </w:r>
          </w:p>
        </w:tc>
      </w:tr>
      <w:tr w:rsidR="001B3472" w:rsidRPr="00D20146" w14:paraId="30BFB162" w14:textId="77777777" w:rsidTr="000A739A">
        <w:trPr>
          <w:trHeight w:val="289"/>
        </w:trPr>
        <w:tc>
          <w:tcPr>
            <w:tcW w:w="4815" w:type="dxa"/>
            <w:shd w:val="clear" w:color="auto" w:fill="95B3D7" w:themeFill="accent1" w:themeFillTint="99"/>
            <w:tcMar>
              <w:top w:w="57" w:type="dxa"/>
              <w:bottom w:w="57" w:type="dxa"/>
            </w:tcMar>
          </w:tcPr>
          <w:p w14:paraId="24751DDF" w14:textId="05040D05" w:rsidR="001B3472" w:rsidRPr="00D20146" w:rsidRDefault="00E9043E">
            <w:pPr>
              <w:rPr>
                <w:rFonts w:cs="Arial"/>
                <w:b/>
                <w:sz w:val="20"/>
                <w:szCs w:val="20"/>
              </w:rPr>
            </w:pPr>
            <w:r>
              <w:rPr>
                <w:rFonts w:cs="Arial"/>
                <w:b/>
                <w:sz w:val="20"/>
                <w:szCs w:val="20"/>
              </w:rPr>
              <w:t xml:space="preserve">Chosen approach </w:t>
            </w:r>
          </w:p>
        </w:tc>
        <w:tc>
          <w:tcPr>
            <w:tcW w:w="4961" w:type="dxa"/>
            <w:shd w:val="clear" w:color="auto" w:fill="95B3D7" w:themeFill="accent1" w:themeFillTint="99"/>
            <w:tcMar>
              <w:top w:w="57" w:type="dxa"/>
              <w:bottom w:w="57" w:type="dxa"/>
            </w:tcMar>
          </w:tcPr>
          <w:p w14:paraId="3C07CB01" w14:textId="405624A6" w:rsidR="001B3472" w:rsidRPr="00D20146" w:rsidRDefault="00E9043E" w:rsidP="006F0B6A">
            <w:pPr>
              <w:rPr>
                <w:rFonts w:cs="Arial"/>
                <w:b/>
                <w:sz w:val="20"/>
                <w:szCs w:val="20"/>
              </w:rPr>
            </w:pPr>
            <w:r>
              <w:rPr>
                <w:rFonts w:cs="Arial"/>
                <w:b/>
                <w:sz w:val="20"/>
                <w:szCs w:val="20"/>
              </w:rPr>
              <w:t>Desired outcome</w:t>
            </w:r>
          </w:p>
        </w:tc>
        <w:tc>
          <w:tcPr>
            <w:tcW w:w="3078" w:type="dxa"/>
            <w:shd w:val="clear" w:color="auto" w:fill="95B3D7" w:themeFill="accent1" w:themeFillTint="99"/>
            <w:tcMar>
              <w:top w:w="57" w:type="dxa"/>
              <w:bottom w:w="57" w:type="dxa"/>
            </w:tcMar>
          </w:tcPr>
          <w:p w14:paraId="1203BAC9" w14:textId="320470E7" w:rsidR="001B3472" w:rsidRPr="00D20146" w:rsidRDefault="00EF016A" w:rsidP="000A25FC">
            <w:pPr>
              <w:rPr>
                <w:rFonts w:cs="Arial"/>
                <w:b/>
                <w:sz w:val="20"/>
                <w:szCs w:val="20"/>
              </w:rPr>
            </w:pPr>
            <w:r>
              <w:rPr>
                <w:rFonts w:cs="Arial"/>
                <w:b/>
                <w:sz w:val="20"/>
                <w:szCs w:val="20"/>
              </w:rPr>
              <w:t>Im</w:t>
            </w:r>
            <w:r w:rsidR="00443E49">
              <w:rPr>
                <w:rFonts w:cs="Arial"/>
                <w:b/>
                <w:sz w:val="20"/>
                <w:szCs w:val="20"/>
              </w:rPr>
              <w:t>pact (once reviewed</w:t>
            </w:r>
            <w:r w:rsidR="00AB2C0F">
              <w:rPr>
                <w:rFonts w:cs="Arial"/>
                <w:b/>
                <w:sz w:val="20"/>
                <w:szCs w:val="20"/>
              </w:rPr>
              <w:t xml:space="preserve"> in July 21</w:t>
            </w:r>
            <w:r w:rsidR="00443E49">
              <w:rPr>
                <w:rFonts w:cs="Arial"/>
                <w:b/>
                <w:sz w:val="20"/>
                <w:szCs w:val="20"/>
              </w:rPr>
              <w:t>)</w:t>
            </w:r>
          </w:p>
        </w:tc>
        <w:tc>
          <w:tcPr>
            <w:tcW w:w="1094" w:type="dxa"/>
            <w:shd w:val="clear" w:color="auto" w:fill="95B3D7" w:themeFill="accent1" w:themeFillTint="99"/>
            <w:tcMar>
              <w:top w:w="57" w:type="dxa"/>
              <w:bottom w:w="57" w:type="dxa"/>
            </w:tcMar>
          </w:tcPr>
          <w:p w14:paraId="0080A928" w14:textId="77777777" w:rsidR="001B3472" w:rsidRPr="00D20146" w:rsidRDefault="001B3472" w:rsidP="00B01C9A">
            <w:pPr>
              <w:rPr>
                <w:rFonts w:cs="Arial"/>
                <w:b/>
                <w:sz w:val="20"/>
                <w:szCs w:val="20"/>
              </w:rPr>
            </w:pPr>
            <w:r w:rsidRPr="00D20146">
              <w:rPr>
                <w:rFonts w:cs="Arial"/>
                <w:b/>
                <w:sz w:val="20"/>
                <w:szCs w:val="20"/>
              </w:rPr>
              <w:t>Staff lead</w:t>
            </w:r>
          </w:p>
        </w:tc>
        <w:tc>
          <w:tcPr>
            <w:tcW w:w="1178" w:type="dxa"/>
            <w:shd w:val="clear" w:color="auto" w:fill="95B3D7" w:themeFill="accent1" w:themeFillTint="99"/>
          </w:tcPr>
          <w:p w14:paraId="62E61BA7" w14:textId="3A3057A8" w:rsidR="001B3472" w:rsidRPr="00D20146" w:rsidRDefault="00E9043E" w:rsidP="00240F98">
            <w:pPr>
              <w:rPr>
                <w:rFonts w:cs="Arial"/>
                <w:b/>
                <w:sz w:val="20"/>
                <w:szCs w:val="20"/>
              </w:rPr>
            </w:pPr>
            <w:r>
              <w:rPr>
                <w:rFonts w:cs="Arial"/>
                <w:b/>
                <w:sz w:val="20"/>
                <w:szCs w:val="20"/>
              </w:rPr>
              <w:t>Cost</w:t>
            </w:r>
          </w:p>
        </w:tc>
      </w:tr>
      <w:tr w:rsidR="001B3472" w:rsidRPr="00D20146" w14:paraId="77C16BC7" w14:textId="77777777" w:rsidTr="0046557F">
        <w:tc>
          <w:tcPr>
            <w:tcW w:w="4815" w:type="dxa"/>
            <w:tcMar>
              <w:top w:w="57" w:type="dxa"/>
              <w:bottom w:w="57" w:type="dxa"/>
            </w:tcMar>
          </w:tcPr>
          <w:p w14:paraId="2326FD18" w14:textId="5D6C2AA4" w:rsidR="00443E49" w:rsidRDefault="00A47D72" w:rsidP="00E6697B">
            <w:pPr>
              <w:rPr>
                <w:rFonts w:cs="Arial"/>
                <w:sz w:val="20"/>
                <w:szCs w:val="20"/>
              </w:rPr>
            </w:pPr>
            <w:proofErr w:type="spellStart"/>
            <w:r>
              <w:rPr>
                <w:rFonts w:cs="Arial"/>
                <w:sz w:val="20"/>
                <w:szCs w:val="20"/>
              </w:rPr>
              <w:t>Lexplore</w:t>
            </w:r>
            <w:proofErr w:type="spellEnd"/>
            <w:r>
              <w:rPr>
                <w:rFonts w:cs="Arial"/>
                <w:sz w:val="20"/>
                <w:szCs w:val="20"/>
              </w:rPr>
              <w:t xml:space="preserve"> &amp; </w:t>
            </w:r>
            <w:proofErr w:type="spellStart"/>
            <w:r>
              <w:rPr>
                <w:rFonts w:cs="Arial"/>
                <w:sz w:val="20"/>
                <w:szCs w:val="20"/>
              </w:rPr>
              <w:t>Tobii</w:t>
            </w:r>
            <w:proofErr w:type="spellEnd"/>
            <w:r>
              <w:rPr>
                <w:rFonts w:cs="Arial"/>
                <w:sz w:val="20"/>
                <w:szCs w:val="20"/>
              </w:rPr>
              <w:t xml:space="preserve"> Eye Tracking Software</w:t>
            </w:r>
          </w:p>
          <w:p w14:paraId="4504C821" w14:textId="50E2CE8F" w:rsidR="00572901" w:rsidRPr="00D20146" w:rsidRDefault="00572901" w:rsidP="006B2CD8">
            <w:pPr>
              <w:rPr>
                <w:rFonts w:cs="Arial"/>
                <w:sz w:val="20"/>
                <w:szCs w:val="20"/>
              </w:rPr>
            </w:pPr>
          </w:p>
        </w:tc>
        <w:tc>
          <w:tcPr>
            <w:tcW w:w="4961" w:type="dxa"/>
            <w:tcMar>
              <w:top w:w="57" w:type="dxa"/>
              <w:bottom w:w="57" w:type="dxa"/>
            </w:tcMar>
          </w:tcPr>
          <w:p w14:paraId="637E776C" w14:textId="2B01B485" w:rsidR="007A674D" w:rsidRPr="00AB2C0F" w:rsidRDefault="002557B5" w:rsidP="002557B5">
            <w:pPr>
              <w:pStyle w:val="Default"/>
              <w:rPr>
                <w:rFonts w:asciiTheme="minorHAnsi" w:hAnsiTheme="minorHAnsi"/>
                <w:bCs/>
                <w:i/>
                <w:sz w:val="20"/>
                <w:szCs w:val="20"/>
              </w:rPr>
            </w:pPr>
            <w:r w:rsidRPr="00AB2C0F">
              <w:rPr>
                <w:rFonts w:asciiTheme="minorHAnsi" w:hAnsiTheme="minorHAnsi"/>
                <w:bCs/>
                <w:i/>
                <w:sz w:val="20"/>
                <w:szCs w:val="20"/>
              </w:rPr>
              <w:t xml:space="preserve">To improve the assessment of reading Y2-Y6. To understand ‘how children read through decoding.’ To identify pupils with reading issues and dyslexic issues earlier. </w:t>
            </w:r>
          </w:p>
        </w:tc>
        <w:tc>
          <w:tcPr>
            <w:tcW w:w="3078" w:type="dxa"/>
            <w:shd w:val="clear" w:color="auto" w:fill="auto"/>
            <w:tcMar>
              <w:top w:w="57" w:type="dxa"/>
              <w:bottom w:w="57" w:type="dxa"/>
            </w:tcMar>
          </w:tcPr>
          <w:p w14:paraId="05B8577C" w14:textId="3C76CA39" w:rsidR="001B3472" w:rsidRPr="00EA0AC0" w:rsidRDefault="001B3472" w:rsidP="00A06E6A">
            <w:pPr>
              <w:rPr>
                <w:rFonts w:cs="Arial"/>
                <w:sz w:val="20"/>
                <w:szCs w:val="20"/>
              </w:rPr>
            </w:pPr>
          </w:p>
        </w:tc>
        <w:tc>
          <w:tcPr>
            <w:tcW w:w="1094" w:type="dxa"/>
            <w:shd w:val="clear" w:color="auto" w:fill="auto"/>
            <w:tcMar>
              <w:top w:w="57" w:type="dxa"/>
              <w:bottom w:w="57" w:type="dxa"/>
            </w:tcMar>
          </w:tcPr>
          <w:p w14:paraId="182E287A" w14:textId="62440E05" w:rsidR="007A674D" w:rsidRPr="00D20146" w:rsidRDefault="006C45CF" w:rsidP="00B01C9A">
            <w:pPr>
              <w:rPr>
                <w:rFonts w:cs="Arial"/>
                <w:sz w:val="20"/>
                <w:szCs w:val="20"/>
              </w:rPr>
            </w:pPr>
            <w:r>
              <w:rPr>
                <w:rFonts w:cs="Arial"/>
                <w:sz w:val="20"/>
                <w:szCs w:val="20"/>
              </w:rPr>
              <w:t>MK and JE</w:t>
            </w:r>
          </w:p>
        </w:tc>
        <w:tc>
          <w:tcPr>
            <w:tcW w:w="1178" w:type="dxa"/>
          </w:tcPr>
          <w:p w14:paraId="3DD38C7D" w14:textId="205678EE" w:rsidR="007A674D" w:rsidRPr="00D20146" w:rsidRDefault="00A47D72" w:rsidP="00A24C51">
            <w:pPr>
              <w:rPr>
                <w:rFonts w:cs="Arial"/>
                <w:sz w:val="20"/>
                <w:szCs w:val="20"/>
              </w:rPr>
            </w:pPr>
            <w:r>
              <w:rPr>
                <w:rFonts w:cs="Arial"/>
                <w:sz w:val="20"/>
                <w:szCs w:val="20"/>
              </w:rPr>
              <w:t>£</w:t>
            </w:r>
            <w:r w:rsidR="000435FB">
              <w:rPr>
                <w:rFonts w:cs="Arial"/>
                <w:sz w:val="20"/>
                <w:szCs w:val="20"/>
              </w:rPr>
              <w:t>960</w:t>
            </w:r>
          </w:p>
        </w:tc>
      </w:tr>
      <w:tr w:rsidR="001B3472" w:rsidRPr="00D20146" w14:paraId="1FAF2B2E" w14:textId="77777777" w:rsidTr="0046557F">
        <w:tc>
          <w:tcPr>
            <w:tcW w:w="4815" w:type="dxa"/>
            <w:tcMar>
              <w:top w:w="57" w:type="dxa"/>
              <w:bottom w:w="57" w:type="dxa"/>
            </w:tcMar>
          </w:tcPr>
          <w:p w14:paraId="52509F5D" w14:textId="4A193D5D" w:rsidR="001B3472" w:rsidRPr="00A47D72" w:rsidRDefault="00A47D72" w:rsidP="00E9043E">
            <w:pPr>
              <w:pStyle w:val="Default"/>
              <w:rPr>
                <w:rFonts w:asciiTheme="minorHAnsi" w:hAnsiTheme="minorHAnsi"/>
                <w:sz w:val="20"/>
                <w:szCs w:val="20"/>
              </w:rPr>
            </w:pPr>
            <w:r w:rsidRPr="00A47D72">
              <w:rPr>
                <w:rFonts w:asciiTheme="minorHAnsi" w:hAnsiTheme="minorHAnsi"/>
                <w:sz w:val="20"/>
                <w:szCs w:val="20"/>
              </w:rPr>
              <w:t>Y1-Y6 ‘Keep Believing’ Literacy Catch Up Units</w:t>
            </w:r>
          </w:p>
        </w:tc>
        <w:tc>
          <w:tcPr>
            <w:tcW w:w="4961" w:type="dxa"/>
            <w:tcMar>
              <w:top w:w="57" w:type="dxa"/>
              <w:bottom w:w="57" w:type="dxa"/>
            </w:tcMar>
          </w:tcPr>
          <w:p w14:paraId="79FE862D" w14:textId="082F5C4B" w:rsidR="00572901" w:rsidRPr="00AB2C0F" w:rsidRDefault="002557B5" w:rsidP="00C46793">
            <w:pPr>
              <w:pStyle w:val="Default"/>
              <w:rPr>
                <w:rFonts w:asciiTheme="minorHAnsi" w:hAnsiTheme="minorHAnsi"/>
                <w:i/>
                <w:iCs/>
                <w:sz w:val="20"/>
                <w:szCs w:val="20"/>
              </w:rPr>
            </w:pPr>
            <w:r w:rsidRPr="00AB2C0F">
              <w:rPr>
                <w:rFonts w:asciiTheme="minorHAnsi" w:hAnsiTheme="minorHAnsi"/>
                <w:i/>
                <w:iCs/>
                <w:sz w:val="20"/>
                <w:szCs w:val="20"/>
              </w:rPr>
              <w:t xml:space="preserve">To </w:t>
            </w:r>
            <w:r w:rsidR="00C46793" w:rsidRPr="00AB2C0F">
              <w:rPr>
                <w:rFonts w:asciiTheme="minorHAnsi" w:hAnsiTheme="minorHAnsi"/>
                <w:i/>
                <w:iCs/>
                <w:sz w:val="20"/>
                <w:szCs w:val="20"/>
              </w:rPr>
              <w:t>recap basic skills and provide opportunities to apply these. Reading content will promote diversity through ‘Black Lives Matter’ subject matter. Quality stimulus will lead to extended pieces of writing to improve writing stamina.</w:t>
            </w:r>
          </w:p>
        </w:tc>
        <w:tc>
          <w:tcPr>
            <w:tcW w:w="3078" w:type="dxa"/>
            <w:tcMar>
              <w:top w:w="57" w:type="dxa"/>
              <w:bottom w:w="57" w:type="dxa"/>
            </w:tcMar>
          </w:tcPr>
          <w:p w14:paraId="346E72EB" w14:textId="6B2F4D50" w:rsidR="001B3472" w:rsidRPr="00D20146" w:rsidRDefault="001B3472" w:rsidP="006C7C85">
            <w:pPr>
              <w:rPr>
                <w:rFonts w:cs="Arial"/>
                <w:sz w:val="20"/>
                <w:szCs w:val="20"/>
              </w:rPr>
            </w:pPr>
          </w:p>
        </w:tc>
        <w:tc>
          <w:tcPr>
            <w:tcW w:w="1094" w:type="dxa"/>
            <w:shd w:val="clear" w:color="auto" w:fill="auto"/>
            <w:tcMar>
              <w:top w:w="57" w:type="dxa"/>
              <w:bottom w:w="57" w:type="dxa"/>
            </w:tcMar>
          </w:tcPr>
          <w:p w14:paraId="62400949" w14:textId="335DBE1A" w:rsidR="00B75574" w:rsidRPr="00D20146" w:rsidRDefault="006C45CF">
            <w:pPr>
              <w:rPr>
                <w:rFonts w:cs="Arial"/>
                <w:sz w:val="20"/>
                <w:szCs w:val="20"/>
              </w:rPr>
            </w:pPr>
            <w:r>
              <w:rPr>
                <w:rFonts w:cs="Arial"/>
                <w:sz w:val="20"/>
                <w:szCs w:val="20"/>
              </w:rPr>
              <w:t>Y1-6 Staff</w:t>
            </w:r>
          </w:p>
        </w:tc>
        <w:tc>
          <w:tcPr>
            <w:tcW w:w="1178" w:type="dxa"/>
            <w:shd w:val="clear" w:color="auto" w:fill="auto"/>
          </w:tcPr>
          <w:p w14:paraId="4DB12397" w14:textId="705118B6" w:rsidR="00FF11DF" w:rsidRPr="00D20146" w:rsidRDefault="00A47D72" w:rsidP="00144577">
            <w:pPr>
              <w:rPr>
                <w:rFonts w:cs="Arial"/>
                <w:sz w:val="20"/>
                <w:szCs w:val="20"/>
              </w:rPr>
            </w:pPr>
            <w:r>
              <w:rPr>
                <w:rFonts w:cs="Arial"/>
                <w:sz w:val="20"/>
                <w:szCs w:val="20"/>
              </w:rPr>
              <w:t>£1</w:t>
            </w:r>
            <w:r w:rsidR="000435FB">
              <w:rPr>
                <w:rFonts w:cs="Arial"/>
                <w:sz w:val="20"/>
                <w:szCs w:val="20"/>
              </w:rPr>
              <w:t>5</w:t>
            </w:r>
            <w:r>
              <w:rPr>
                <w:rFonts w:cs="Arial"/>
                <w:sz w:val="20"/>
                <w:szCs w:val="20"/>
              </w:rPr>
              <w:t>0</w:t>
            </w:r>
          </w:p>
        </w:tc>
      </w:tr>
      <w:tr w:rsidR="00700F53" w:rsidRPr="00D20146" w14:paraId="2D02F933" w14:textId="77777777" w:rsidTr="0046557F">
        <w:tc>
          <w:tcPr>
            <w:tcW w:w="4815" w:type="dxa"/>
            <w:tcMar>
              <w:top w:w="57" w:type="dxa"/>
              <w:bottom w:w="57" w:type="dxa"/>
            </w:tcMar>
          </w:tcPr>
          <w:p w14:paraId="35318949" w14:textId="26AC544B" w:rsidR="00700F53" w:rsidRPr="00A47D72" w:rsidRDefault="00A47D72" w:rsidP="0034144A">
            <w:pPr>
              <w:pStyle w:val="Default"/>
              <w:rPr>
                <w:rFonts w:asciiTheme="minorHAnsi" w:hAnsiTheme="minorHAnsi"/>
                <w:bCs/>
                <w:sz w:val="20"/>
                <w:szCs w:val="20"/>
              </w:rPr>
            </w:pPr>
            <w:r w:rsidRPr="00A47D72">
              <w:rPr>
                <w:rFonts w:asciiTheme="minorHAnsi" w:hAnsiTheme="minorHAnsi"/>
                <w:bCs/>
                <w:sz w:val="20"/>
                <w:szCs w:val="20"/>
              </w:rPr>
              <w:t>White Rose Maths Subscription</w:t>
            </w:r>
            <w:r>
              <w:rPr>
                <w:rFonts w:asciiTheme="minorHAnsi" w:hAnsiTheme="minorHAnsi"/>
                <w:bCs/>
                <w:sz w:val="20"/>
                <w:szCs w:val="20"/>
              </w:rPr>
              <w:t xml:space="preserve"> (whole school)</w:t>
            </w:r>
          </w:p>
          <w:p w14:paraId="2EDD7732" w14:textId="787ED801" w:rsidR="00E9043E" w:rsidRPr="00700F53" w:rsidRDefault="00E9043E" w:rsidP="0034144A">
            <w:pPr>
              <w:pStyle w:val="Default"/>
              <w:rPr>
                <w:rFonts w:asciiTheme="minorHAnsi" w:hAnsiTheme="minorHAnsi"/>
                <w:b/>
                <w:sz w:val="20"/>
                <w:szCs w:val="20"/>
                <w:u w:val="single"/>
              </w:rPr>
            </w:pPr>
          </w:p>
        </w:tc>
        <w:tc>
          <w:tcPr>
            <w:tcW w:w="4961" w:type="dxa"/>
            <w:tcMar>
              <w:top w:w="57" w:type="dxa"/>
              <w:bottom w:w="57" w:type="dxa"/>
            </w:tcMar>
          </w:tcPr>
          <w:p w14:paraId="01328825" w14:textId="04488EB8" w:rsidR="00700F53" w:rsidRPr="00AB2C0F" w:rsidRDefault="00AB2C0F" w:rsidP="003672CE">
            <w:pPr>
              <w:pStyle w:val="Default"/>
              <w:rPr>
                <w:rFonts w:asciiTheme="minorHAnsi" w:hAnsiTheme="minorHAnsi"/>
                <w:i/>
                <w:iCs/>
                <w:sz w:val="20"/>
                <w:szCs w:val="20"/>
              </w:rPr>
            </w:pPr>
            <w:r w:rsidRPr="00AB2C0F">
              <w:rPr>
                <w:rFonts w:asciiTheme="minorHAnsi" w:hAnsiTheme="minorHAnsi"/>
                <w:i/>
                <w:iCs/>
                <w:sz w:val="20"/>
                <w:szCs w:val="20"/>
              </w:rPr>
              <w:t>To improve basic calculation skills in Mathematics. To improve instant recall of basic number facts. To provide additional resources to staff to enable greater application of number.</w:t>
            </w:r>
          </w:p>
        </w:tc>
        <w:tc>
          <w:tcPr>
            <w:tcW w:w="3078" w:type="dxa"/>
            <w:tcMar>
              <w:top w:w="57" w:type="dxa"/>
              <w:bottom w:w="57" w:type="dxa"/>
            </w:tcMar>
          </w:tcPr>
          <w:p w14:paraId="0A9D91CA" w14:textId="77777777" w:rsidR="00700F53" w:rsidRPr="00D20146" w:rsidRDefault="00700F53" w:rsidP="006C7C85">
            <w:pPr>
              <w:rPr>
                <w:rFonts w:cs="Arial"/>
                <w:sz w:val="20"/>
                <w:szCs w:val="20"/>
              </w:rPr>
            </w:pPr>
          </w:p>
        </w:tc>
        <w:tc>
          <w:tcPr>
            <w:tcW w:w="1094" w:type="dxa"/>
            <w:shd w:val="clear" w:color="auto" w:fill="auto"/>
            <w:tcMar>
              <w:top w:w="57" w:type="dxa"/>
              <w:bottom w:w="57" w:type="dxa"/>
            </w:tcMar>
          </w:tcPr>
          <w:p w14:paraId="59EEBB83" w14:textId="08E60DE6" w:rsidR="00700F53" w:rsidRDefault="006C45CF">
            <w:pPr>
              <w:rPr>
                <w:rFonts w:cs="Arial"/>
                <w:sz w:val="20"/>
                <w:szCs w:val="20"/>
              </w:rPr>
            </w:pPr>
            <w:r>
              <w:rPr>
                <w:rFonts w:cs="Arial"/>
                <w:sz w:val="20"/>
                <w:szCs w:val="20"/>
              </w:rPr>
              <w:t>All staff</w:t>
            </w:r>
          </w:p>
        </w:tc>
        <w:tc>
          <w:tcPr>
            <w:tcW w:w="1178" w:type="dxa"/>
            <w:shd w:val="clear" w:color="auto" w:fill="auto"/>
          </w:tcPr>
          <w:p w14:paraId="369C80B9" w14:textId="280F0179" w:rsidR="00700F53" w:rsidRDefault="00A47D72" w:rsidP="00144577">
            <w:pPr>
              <w:rPr>
                <w:rFonts w:cs="Arial"/>
                <w:sz w:val="20"/>
                <w:szCs w:val="20"/>
              </w:rPr>
            </w:pPr>
            <w:r>
              <w:rPr>
                <w:rFonts w:cs="Arial"/>
                <w:sz w:val="20"/>
                <w:szCs w:val="20"/>
              </w:rPr>
              <w:t>£</w:t>
            </w:r>
            <w:r w:rsidR="000435FB">
              <w:rPr>
                <w:rFonts w:cs="Arial"/>
                <w:sz w:val="20"/>
                <w:szCs w:val="20"/>
              </w:rPr>
              <w:t>150</w:t>
            </w:r>
          </w:p>
        </w:tc>
      </w:tr>
      <w:tr w:rsidR="00700F53" w:rsidRPr="00D20146" w14:paraId="70A56DFB" w14:textId="77777777" w:rsidTr="0046557F">
        <w:tc>
          <w:tcPr>
            <w:tcW w:w="4815" w:type="dxa"/>
            <w:tcMar>
              <w:top w:w="57" w:type="dxa"/>
              <w:bottom w:w="57" w:type="dxa"/>
            </w:tcMar>
          </w:tcPr>
          <w:p w14:paraId="08EF80A6" w14:textId="6D899457" w:rsidR="00700F53" w:rsidRPr="00A47D72" w:rsidRDefault="00A47D72" w:rsidP="00700F53">
            <w:pPr>
              <w:pStyle w:val="Default"/>
              <w:rPr>
                <w:rFonts w:asciiTheme="minorHAnsi" w:hAnsiTheme="minorHAnsi"/>
                <w:bCs/>
                <w:sz w:val="20"/>
                <w:szCs w:val="20"/>
              </w:rPr>
            </w:pPr>
            <w:r w:rsidRPr="00A47D72">
              <w:rPr>
                <w:rFonts w:asciiTheme="minorHAnsi" w:hAnsiTheme="minorHAnsi"/>
                <w:bCs/>
                <w:sz w:val="20"/>
                <w:szCs w:val="20"/>
              </w:rPr>
              <w:t>Y6 Spag App</w:t>
            </w:r>
          </w:p>
          <w:p w14:paraId="600E6216" w14:textId="486C9727" w:rsidR="00E9043E" w:rsidRDefault="00E9043E" w:rsidP="00700F53">
            <w:pPr>
              <w:pStyle w:val="Default"/>
              <w:rPr>
                <w:rFonts w:asciiTheme="minorHAnsi" w:hAnsiTheme="minorHAnsi"/>
                <w:b/>
                <w:sz w:val="20"/>
                <w:szCs w:val="20"/>
                <w:u w:val="single"/>
              </w:rPr>
            </w:pPr>
          </w:p>
        </w:tc>
        <w:tc>
          <w:tcPr>
            <w:tcW w:w="4961" w:type="dxa"/>
            <w:tcMar>
              <w:top w:w="57" w:type="dxa"/>
              <w:bottom w:w="57" w:type="dxa"/>
            </w:tcMar>
          </w:tcPr>
          <w:p w14:paraId="22D5C2C1" w14:textId="22B7514C" w:rsidR="00700F53" w:rsidRPr="00AB2C0F" w:rsidRDefault="00AB2C0F" w:rsidP="003672CE">
            <w:pPr>
              <w:pStyle w:val="Default"/>
              <w:rPr>
                <w:rFonts w:asciiTheme="minorHAnsi" w:hAnsiTheme="minorHAnsi"/>
                <w:i/>
                <w:iCs/>
                <w:sz w:val="20"/>
                <w:szCs w:val="20"/>
              </w:rPr>
            </w:pPr>
            <w:r>
              <w:rPr>
                <w:rFonts w:asciiTheme="minorHAnsi" w:hAnsiTheme="minorHAnsi"/>
                <w:i/>
                <w:iCs/>
                <w:sz w:val="20"/>
                <w:szCs w:val="20"/>
              </w:rPr>
              <w:t xml:space="preserve">To improve the teaching of SPAG especially around the content missed during lockdown. Additional materials will allow greater opportunities for pupils to apply knowledge. </w:t>
            </w:r>
          </w:p>
        </w:tc>
        <w:tc>
          <w:tcPr>
            <w:tcW w:w="3078" w:type="dxa"/>
            <w:tcMar>
              <w:top w:w="57" w:type="dxa"/>
              <w:bottom w:w="57" w:type="dxa"/>
            </w:tcMar>
          </w:tcPr>
          <w:p w14:paraId="7D9D3B01" w14:textId="77777777" w:rsidR="00700F53" w:rsidRPr="00D20146" w:rsidRDefault="00700F53" w:rsidP="006C7C85">
            <w:pPr>
              <w:rPr>
                <w:rFonts w:cs="Arial"/>
                <w:sz w:val="20"/>
                <w:szCs w:val="20"/>
              </w:rPr>
            </w:pPr>
          </w:p>
        </w:tc>
        <w:tc>
          <w:tcPr>
            <w:tcW w:w="1094" w:type="dxa"/>
            <w:shd w:val="clear" w:color="auto" w:fill="auto"/>
            <w:tcMar>
              <w:top w:w="57" w:type="dxa"/>
              <w:bottom w:w="57" w:type="dxa"/>
            </w:tcMar>
          </w:tcPr>
          <w:p w14:paraId="13ED8DDA" w14:textId="021C8079" w:rsidR="00700F53" w:rsidRDefault="006C45CF">
            <w:pPr>
              <w:rPr>
                <w:rFonts w:cs="Arial"/>
                <w:sz w:val="20"/>
                <w:szCs w:val="20"/>
              </w:rPr>
            </w:pPr>
            <w:r>
              <w:rPr>
                <w:rFonts w:cs="Arial"/>
                <w:sz w:val="20"/>
                <w:szCs w:val="20"/>
              </w:rPr>
              <w:t>KR</w:t>
            </w:r>
          </w:p>
        </w:tc>
        <w:tc>
          <w:tcPr>
            <w:tcW w:w="1178" w:type="dxa"/>
            <w:shd w:val="clear" w:color="auto" w:fill="auto"/>
          </w:tcPr>
          <w:p w14:paraId="1B679AAC" w14:textId="65D536AD" w:rsidR="00700F53" w:rsidRDefault="00A47D72" w:rsidP="00144577">
            <w:pPr>
              <w:rPr>
                <w:rFonts w:cs="Arial"/>
                <w:sz w:val="20"/>
                <w:szCs w:val="20"/>
              </w:rPr>
            </w:pPr>
            <w:r>
              <w:rPr>
                <w:rFonts w:cs="Arial"/>
                <w:sz w:val="20"/>
                <w:szCs w:val="20"/>
              </w:rPr>
              <w:t>£63</w:t>
            </w:r>
          </w:p>
        </w:tc>
      </w:tr>
      <w:tr w:rsidR="001B3472" w:rsidRPr="00D20146" w14:paraId="02330271" w14:textId="77777777" w:rsidTr="000A739A">
        <w:trPr>
          <w:trHeight w:hRule="exact" w:val="387"/>
        </w:trPr>
        <w:tc>
          <w:tcPr>
            <w:tcW w:w="13948" w:type="dxa"/>
            <w:gridSpan w:val="4"/>
            <w:shd w:val="clear" w:color="auto" w:fill="95B3D7" w:themeFill="accent1" w:themeFillTint="99"/>
            <w:tcMar>
              <w:top w:w="57" w:type="dxa"/>
              <w:bottom w:w="57" w:type="dxa"/>
            </w:tcMar>
          </w:tcPr>
          <w:p w14:paraId="1E183697" w14:textId="77777777" w:rsidR="00125340" w:rsidRPr="009B5AD6" w:rsidRDefault="00125340" w:rsidP="000B25ED">
            <w:pPr>
              <w:jc w:val="right"/>
              <w:rPr>
                <w:rFonts w:cs="Arial"/>
                <w:color w:val="FF0000"/>
                <w:sz w:val="20"/>
                <w:szCs w:val="20"/>
              </w:rPr>
            </w:pPr>
            <w:r w:rsidRPr="009B5AD6">
              <w:rPr>
                <w:rFonts w:cs="Arial"/>
                <w:b/>
                <w:color w:val="FF0000"/>
                <w:sz w:val="20"/>
                <w:szCs w:val="20"/>
              </w:rPr>
              <w:t>Total budgeted cost</w:t>
            </w:r>
          </w:p>
        </w:tc>
        <w:tc>
          <w:tcPr>
            <w:tcW w:w="1178" w:type="dxa"/>
          </w:tcPr>
          <w:p w14:paraId="21F2FF25" w14:textId="4A700640" w:rsidR="00125340" w:rsidRPr="009B5AD6" w:rsidRDefault="000435FB" w:rsidP="001D394F">
            <w:pPr>
              <w:rPr>
                <w:rFonts w:cs="Arial"/>
                <w:b/>
                <w:color w:val="FF0000"/>
                <w:sz w:val="20"/>
                <w:szCs w:val="20"/>
              </w:rPr>
            </w:pPr>
            <w:r>
              <w:rPr>
                <w:rFonts w:cs="Arial"/>
                <w:b/>
                <w:color w:val="FF0000"/>
                <w:sz w:val="20"/>
                <w:szCs w:val="20"/>
              </w:rPr>
              <w:t>£1,323</w:t>
            </w:r>
          </w:p>
        </w:tc>
      </w:tr>
    </w:tbl>
    <w:p w14:paraId="44F04A18" w14:textId="04B65068" w:rsidR="00AE66C2" w:rsidRDefault="00AE66C2" w:rsidP="0004731E">
      <w:pPr>
        <w:rPr>
          <w:sz w:val="18"/>
          <w:szCs w:val="18"/>
        </w:rPr>
      </w:pPr>
    </w:p>
    <w:p w14:paraId="0221698C" w14:textId="5306260E" w:rsidR="000079DF" w:rsidRDefault="000079DF" w:rsidP="0004731E">
      <w:pPr>
        <w:rPr>
          <w:sz w:val="18"/>
          <w:szCs w:val="18"/>
        </w:rPr>
      </w:pPr>
    </w:p>
    <w:p w14:paraId="0B7068DB" w14:textId="77777777" w:rsidR="00FC63C4" w:rsidRDefault="00FC63C4" w:rsidP="0004731E">
      <w:pPr>
        <w:rPr>
          <w:sz w:val="18"/>
          <w:szCs w:val="18"/>
        </w:rPr>
      </w:pPr>
    </w:p>
    <w:tbl>
      <w:tblPr>
        <w:tblStyle w:val="TableGrid"/>
        <w:tblW w:w="0" w:type="auto"/>
        <w:tblLook w:val="04A0" w:firstRow="1" w:lastRow="0" w:firstColumn="1" w:lastColumn="0" w:noHBand="0" w:noVBand="1"/>
      </w:tblPr>
      <w:tblGrid>
        <w:gridCol w:w="5098"/>
        <w:gridCol w:w="4678"/>
        <w:gridCol w:w="3119"/>
        <w:gridCol w:w="1134"/>
        <w:gridCol w:w="1097"/>
      </w:tblGrid>
      <w:tr w:rsidR="00D20146" w:rsidRPr="00D20146" w14:paraId="030ABD4C" w14:textId="77777777" w:rsidTr="000A739A">
        <w:trPr>
          <w:trHeight w:hRule="exact" w:val="312"/>
        </w:trPr>
        <w:tc>
          <w:tcPr>
            <w:tcW w:w="0" w:type="auto"/>
            <w:gridSpan w:val="5"/>
            <w:shd w:val="clear" w:color="auto" w:fill="95B3D7" w:themeFill="accent1" w:themeFillTint="99"/>
            <w:tcMar>
              <w:top w:w="57" w:type="dxa"/>
              <w:bottom w:w="57" w:type="dxa"/>
            </w:tcMar>
          </w:tcPr>
          <w:p w14:paraId="6EF9DFC7" w14:textId="0EE561E3" w:rsidR="00D20146" w:rsidRPr="00E67C36" w:rsidRDefault="00D20146" w:rsidP="00700F53">
            <w:pPr>
              <w:pStyle w:val="ListParagraph"/>
              <w:numPr>
                <w:ilvl w:val="0"/>
                <w:numId w:val="14"/>
              </w:numPr>
              <w:rPr>
                <w:rFonts w:cs="Arial"/>
                <w:b/>
                <w:sz w:val="20"/>
                <w:szCs w:val="20"/>
              </w:rPr>
            </w:pPr>
            <w:r w:rsidRPr="00E67C36">
              <w:rPr>
                <w:rFonts w:cs="Arial"/>
                <w:b/>
                <w:sz w:val="20"/>
                <w:szCs w:val="20"/>
              </w:rPr>
              <w:t xml:space="preserve">Targeted </w:t>
            </w:r>
            <w:r w:rsidR="00700F53">
              <w:rPr>
                <w:rFonts w:cs="Arial"/>
                <w:b/>
                <w:sz w:val="20"/>
                <w:szCs w:val="20"/>
              </w:rPr>
              <w:t>academic support</w:t>
            </w:r>
          </w:p>
        </w:tc>
      </w:tr>
      <w:tr w:rsidR="00443E49" w:rsidRPr="00D20146" w14:paraId="4656B9AF" w14:textId="77777777" w:rsidTr="000A739A">
        <w:tc>
          <w:tcPr>
            <w:tcW w:w="5098" w:type="dxa"/>
            <w:shd w:val="clear" w:color="auto" w:fill="95B3D7" w:themeFill="accent1" w:themeFillTint="99"/>
            <w:tcMar>
              <w:top w:w="57" w:type="dxa"/>
              <w:bottom w:w="57" w:type="dxa"/>
            </w:tcMar>
          </w:tcPr>
          <w:p w14:paraId="4E0CC495" w14:textId="67567332" w:rsidR="00443E49" w:rsidRPr="00D20146" w:rsidRDefault="00AB2C0F" w:rsidP="00443E49">
            <w:pPr>
              <w:rPr>
                <w:rFonts w:cs="Arial"/>
                <w:b/>
                <w:sz w:val="20"/>
                <w:szCs w:val="20"/>
              </w:rPr>
            </w:pPr>
            <w:r>
              <w:rPr>
                <w:rFonts w:cs="Arial"/>
                <w:b/>
                <w:sz w:val="20"/>
                <w:szCs w:val="20"/>
              </w:rPr>
              <w:t>Chosen approach</w:t>
            </w:r>
          </w:p>
        </w:tc>
        <w:tc>
          <w:tcPr>
            <w:tcW w:w="4678" w:type="dxa"/>
            <w:shd w:val="clear" w:color="auto" w:fill="95B3D7" w:themeFill="accent1" w:themeFillTint="99"/>
            <w:tcMar>
              <w:top w:w="57" w:type="dxa"/>
              <w:bottom w:w="57" w:type="dxa"/>
            </w:tcMar>
          </w:tcPr>
          <w:p w14:paraId="5ADE55E8" w14:textId="68595FBE" w:rsidR="00443E49" w:rsidRPr="00D20146" w:rsidRDefault="00AB2C0F" w:rsidP="00443E49">
            <w:pPr>
              <w:rPr>
                <w:rFonts w:cs="Arial"/>
                <w:b/>
                <w:sz w:val="20"/>
                <w:szCs w:val="20"/>
              </w:rPr>
            </w:pPr>
            <w:r>
              <w:rPr>
                <w:rFonts w:cs="Arial"/>
                <w:b/>
                <w:sz w:val="20"/>
                <w:szCs w:val="20"/>
              </w:rPr>
              <w:t>Desired outcome</w:t>
            </w:r>
          </w:p>
        </w:tc>
        <w:tc>
          <w:tcPr>
            <w:tcW w:w="3119" w:type="dxa"/>
            <w:shd w:val="clear" w:color="auto" w:fill="95B3D7" w:themeFill="accent1" w:themeFillTint="99"/>
            <w:tcMar>
              <w:top w:w="57" w:type="dxa"/>
              <w:bottom w:w="57" w:type="dxa"/>
            </w:tcMar>
          </w:tcPr>
          <w:p w14:paraId="1E928498" w14:textId="263359EF" w:rsidR="00443E49" w:rsidRPr="00D20146" w:rsidRDefault="00443E49" w:rsidP="00443E49">
            <w:pPr>
              <w:rPr>
                <w:rFonts w:cs="Arial"/>
                <w:b/>
                <w:sz w:val="20"/>
                <w:szCs w:val="20"/>
              </w:rPr>
            </w:pPr>
            <w:r>
              <w:rPr>
                <w:rFonts w:cs="Arial"/>
                <w:b/>
                <w:sz w:val="20"/>
                <w:szCs w:val="20"/>
              </w:rPr>
              <w:t>Impact (once reviewed</w:t>
            </w:r>
            <w:r w:rsidR="00AB2C0F">
              <w:rPr>
                <w:rFonts w:cs="Arial"/>
                <w:b/>
                <w:sz w:val="20"/>
                <w:szCs w:val="20"/>
              </w:rPr>
              <w:t xml:space="preserve"> in July 21</w:t>
            </w:r>
            <w:r>
              <w:rPr>
                <w:rFonts w:cs="Arial"/>
                <w:b/>
                <w:sz w:val="20"/>
                <w:szCs w:val="20"/>
              </w:rPr>
              <w:t>)</w:t>
            </w:r>
          </w:p>
        </w:tc>
        <w:tc>
          <w:tcPr>
            <w:tcW w:w="1134" w:type="dxa"/>
            <w:shd w:val="clear" w:color="auto" w:fill="95B3D7" w:themeFill="accent1" w:themeFillTint="99"/>
            <w:tcMar>
              <w:top w:w="57" w:type="dxa"/>
              <w:bottom w:w="57" w:type="dxa"/>
            </w:tcMar>
          </w:tcPr>
          <w:p w14:paraId="63E9713B"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shd w:val="clear" w:color="auto" w:fill="95B3D7" w:themeFill="accent1" w:themeFillTint="99"/>
          </w:tcPr>
          <w:p w14:paraId="0DA9CE29" w14:textId="4A3EF287" w:rsidR="00443E49" w:rsidRPr="00D20146" w:rsidRDefault="00AB2C0F" w:rsidP="00443E49">
            <w:pPr>
              <w:rPr>
                <w:rFonts w:cs="Arial"/>
                <w:b/>
                <w:sz w:val="20"/>
                <w:szCs w:val="20"/>
              </w:rPr>
            </w:pPr>
            <w:r>
              <w:rPr>
                <w:rFonts w:cs="Arial"/>
                <w:b/>
                <w:sz w:val="20"/>
                <w:szCs w:val="20"/>
              </w:rPr>
              <w:t>Cost</w:t>
            </w:r>
          </w:p>
        </w:tc>
      </w:tr>
      <w:tr w:rsidR="00FC65CA" w:rsidRPr="00D20146" w14:paraId="568E2EF0" w14:textId="77777777" w:rsidTr="00FC63C4">
        <w:tc>
          <w:tcPr>
            <w:tcW w:w="5098" w:type="dxa"/>
            <w:tcMar>
              <w:top w:w="57" w:type="dxa"/>
              <w:bottom w:w="57" w:type="dxa"/>
            </w:tcMar>
          </w:tcPr>
          <w:p w14:paraId="27AB8F45" w14:textId="13DF0263" w:rsidR="00FC65CA" w:rsidRPr="00FC65CA" w:rsidRDefault="00FC65CA" w:rsidP="00AB2C0F">
            <w:pPr>
              <w:pStyle w:val="Default"/>
              <w:rPr>
                <w:rFonts w:asciiTheme="minorHAnsi" w:hAnsiTheme="minorHAnsi"/>
                <w:sz w:val="20"/>
                <w:szCs w:val="20"/>
              </w:rPr>
            </w:pPr>
            <w:r w:rsidRPr="00FC65CA">
              <w:rPr>
                <w:rFonts w:asciiTheme="minorHAnsi" w:hAnsiTheme="minorHAnsi"/>
                <w:sz w:val="20"/>
                <w:szCs w:val="20"/>
              </w:rPr>
              <w:t>Additional Speech and Language 1:1 sessions for Rec/Y1 (one morning per week x 10 weeks)</w:t>
            </w:r>
          </w:p>
          <w:p w14:paraId="7BA41AFC" w14:textId="77777777" w:rsidR="00FC65CA" w:rsidRPr="00FC65CA" w:rsidRDefault="00FC65CA" w:rsidP="00AB2C0F">
            <w:pPr>
              <w:pStyle w:val="Default"/>
              <w:rPr>
                <w:rFonts w:asciiTheme="minorHAnsi" w:hAnsiTheme="minorHAnsi"/>
                <w:sz w:val="20"/>
                <w:szCs w:val="20"/>
              </w:rPr>
            </w:pPr>
          </w:p>
          <w:p w14:paraId="42615052" w14:textId="77777777" w:rsidR="00FC65CA" w:rsidRDefault="00FC65CA" w:rsidP="00AB2C0F">
            <w:pPr>
              <w:pStyle w:val="Default"/>
              <w:rPr>
                <w:rFonts w:asciiTheme="minorHAnsi" w:hAnsiTheme="minorHAnsi"/>
                <w:sz w:val="20"/>
                <w:szCs w:val="20"/>
              </w:rPr>
            </w:pPr>
          </w:p>
        </w:tc>
        <w:tc>
          <w:tcPr>
            <w:tcW w:w="4678" w:type="dxa"/>
            <w:tcMar>
              <w:top w:w="57" w:type="dxa"/>
              <w:bottom w:w="57" w:type="dxa"/>
            </w:tcMar>
          </w:tcPr>
          <w:p w14:paraId="2A53204C" w14:textId="4364AF80" w:rsidR="00FC65CA" w:rsidRPr="00E57D15" w:rsidRDefault="00FC65CA" w:rsidP="00FC65CA">
            <w:pPr>
              <w:pStyle w:val="Default"/>
              <w:rPr>
                <w:rFonts w:asciiTheme="minorHAnsi" w:hAnsiTheme="minorHAnsi"/>
                <w:i/>
                <w:sz w:val="20"/>
                <w:szCs w:val="20"/>
              </w:rPr>
            </w:pPr>
            <w:r>
              <w:rPr>
                <w:rFonts w:asciiTheme="minorHAnsi" w:hAnsiTheme="minorHAnsi"/>
                <w:i/>
                <w:sz w:val="20"/>
                <w:szCs w:val="20"/>
              </w:rPr>
              <w:t xml:space="preserve">To increase accuracy in pronunciation of words and phrases. Develop early language skills with those young children who have missed out on spoken language at home. </w:t>
            </w:r>
          </w:p>
        </w:tc>
        <w:tc>
          <w:tcPr>
            <w:tcW w:w="3119" w:type="dxa"/>
            <w:tcMar>
              <w:top w:w="57" w:type="dxa"/>
              <w:bottom w:w="57" w:type="dxa"/>
            </w:tcMar>
          </w:tcPr>
          <w:p w14:paraId="520ADA87" w14:textId="77777777" w:rsidR="00FC65CA" w:rsidRPr="00D20146" w:rsidRDefault="00FC65CA" w:rsidP="00FC63C4">
            <w:pPr>
              <w:rPr>
                <w:rFonts w:cs="Arial"/>
                <w:sz w:val="20"/>
                <w:szCs w:val="20"/>
              </w:rPr>
            </w:pPr>
          </w:p>
        </w:tc>
        <w:tc>
          <w:tcPr>
            <w:tcW w:w="1134" w:type="dxa"/>
            <w:tcMar>
              <w:top w:w="57" w:type="dxa"/>
              <w:bottom w:w="57" w:type="dxa"/>
            </w:tcMar>
          </w:tcPr>
          <w:p w14:paraId="056E3B7F" w14:textId="130BF20F" w:rsidR="00FC65CA" w:rsidRDefault="004A140E" w:rsidP="00FC63C4">
            <w:pPr>
              <w:rPr>
                <w:rFonts w:cs="Arial"/>
                <w:sz w:val="20"/>
                <w:szCs w:val="20"/>
              </w:rPr>
            </w:pPr>
            <w:r>
              <w:rPr>
                <w:rFonts w:cs="Arial"/>
                <w:sz w:val="20"/>
                <w:szCs w:val="20"/>
              </w:rPr>
              <w:t>CQ</w:t>
            </w:r>
          </w:p>
        </w:tc>
        <w:tc>
          <w:tcPr>
            <w:tcW w:w="1097" w:type="dxa"/>
          </w:tcPr>
          <w:p w14:paraId="70ED316E" w14:textId="73170252" w:rsidR="00FC65CA" w:rsidRDefault="00A355F3" w:rsidP="00FC63C4">
            <w:pPr>
              <w:rPr>
                <w:rFonts w:cs="Arial"/>
                <w:sz w:val="20"/>
                <w:szCs w:val="20"/>
              </w:rPr>
            </w:pPr>
            <w:r>
              <w:rPr>
                <w:rFonts w:cs="Arial"/>
                <w:sz w:val="20"/>
                <w:szCs w:val="20"/>
              </w:rPr>
              <w:t>£1,</w:t>
            </w:r>
            <w:r w:rsidR="000435FB">
              <w:rPr>
                <w:rFonts w:cs="Arial"/>
                <w:sz w:val="20"/>
                <w:szCs w:val="20"/>
              </w:rPr>
              <w:t>5</w:t>
            </w:r>
            <w:r>
              <w:rPr>
                <w:rFonts w:cs="Arial"/>
                <w:sz w:val="20"/>
                <w:szCs w:val="20"/>
              </w:rPr>
              <w:t>00</w:t>
            </w:r>
          </w:p>
        </w:tc>
      </w:tr>
      <w:tr w:rsidR="00FC63C4" w:rsidRPr="00D20146" w14:paraId="1FC7590D" w14:textId="77777777" w:rsidTr="00FC63C4">
        <w:tc>
          <w:tcPr>
            <w:tcW w:w="5098" w:type="dxa"/>
            <w:tcMar>
              <w:top w:w="57" w:type="dxa"/>
              <w:bottom w:w="57" w:type="dxa"/>
            </w:tcMar>
          </w:tcPr>
          <w:p w14:paraId="7B8C9DD3" w14:textId="4E7004E8" w:rsidR="00FC63C4" w:rsidRPr="00D20146" w:rsidRDefault="00AB2C0F" w:rsidP="00AB2C0F">
            <w:pPr>
              <w:pStyle w:val="Default"/>
              <w:rPr>
                <w:rFonts w:asciiTheme="minorHAnsi" w:hAnsiTheme="minorHAnsi"/>
                <w:sz w:val="20"/>
                <w:szCs w:val="20"/>
              </w:rPr>
            </w:pPr>
            <w:r>
              <w:rPr>
                <w:rFonts w:asciiTheme="minorHAnsi" w:hAnsiTheme="minorHAnsi"/>
                <w:sz w:val="20"/>
                <w:szCs w:val="20"/>
              </w:rPr>
              <w:lastRenderedPageBreak/>
              <w:t xml:space="preserve">Additional Reading Recovery Teacher 2 days per week in KS1 </w:t>
            </w:r>
          </w:p>
        </w:tc>
        <w:tc>
          <w:tcPr>
            <w:tcW w:w="4678" w:type="dxa"/>
            <w:tcMar>
              <w:top w:w="57" w:type="dxa"/>
              <w:bottom w:w="57" w:type="dxa"/>
            </w:tcMar>
          </w:tcPr>
          <w:p w14:paraId="10F47CDA" w14:textId="0688B5DB" w:rsidR="00FC63C4" w:rsidRPr="00FC65CA" w:rsidRDefault="00E57D15" w:rsidP="00FC65CA">
            <w:pPr>
              <w:pStyle w:val="Default"/>
              <w:rPr>
                <w:rFonts w:asciiTheme="minorHAnsi" w:hAnsiTheme="minorHAnsi"/>
                <w:i/>
                <w:sz w:val="20"/>
                <w:szCs w:val="20"/>
              </w:rPr>
            </w:pPr>
            <w:r w:rsidRPr="00E57D15">
              <w:rPr>
                <w:rFonts w:asciiTheme="minorHAnsi" w:hAnsiTheme="minorHAnsi"/>
                <w:i/>
                <w:sz w:val="20"/>
                <w:szCs w:val="20"/>
              </w:rPr>
              <w:t xml:space="preserve">To raise attainment in reading at KS1. </w:t>
            </w:r>
            <w:r>
              <w:rPr>
                <w:rFonts w:asciiTheme="minorHAnsi" w:hAnsiTheme="minorHAnsi"/>
                <w:i/>
                <w:sz w:val="20"/>
                <w:szCs w:val="20"/>
              </w:rPr>
              <w:t xml:space="preserve">Focus on gaps in phonic knowledge, </w:t>
            </w:r>
            <w:r w:rsidR="00FC65CA">
              <w:rPr>
                <w:rFonts w:asciiTheme="minorHAnsi" w:hAnsiTheme="minorHAnsi"/>
                <w:i/>
                <w:sz w:val="20"/>
                <w:szCs w:val="20"/>
              </w:rPr>
              <w:t xml:space="preserve">increased 1:1 teaching and </w:t>
            </w:r>
            <w:r>
              <w:rPr>
                <w:rFonts w:asciiTheme="minorHAnsi" w:hAnsiTheme="minorHAnsi"/>
                <w:i/>
                <w:sz w:val="20"/>
                <w:szCs w:val="20"/>
              </w:rPr>
              <w:t>s</w:t>
            </w:r>
            <w:r w:rsidR="00FC65CA">
              <w:rPr>
                <w:rFonts w:asciiTheme="minorHAnsi" w:hAnsiTheme="minorHAnsi"/>
                <w:i/>
                <w:sz w:val="20"/>
                <w:szCs w:val="20"/>
              </w:rPr>
              <w:t xml:space="preserve">pecific teaching of comprehension through targeted questioning. </w:t>
            </w:r>
            <w:r w:rsidRPr="00E57D15">
              <w:rPr>
                <w:rFonts w:asciiTheme="minorHAnsi" w:hAnsiTheme="minorHAnsi"/>
                <w:i/>
                <w:sz w:val="20"/>
                <w:szCs w:val="20"/>
              </w:rPr>
              <w:t xml:space="preserve"> </w:t>
            </w:r>
          </w:p>
        </w:tc>
        <w:tc>
          <w:tcPr>
            <w:tcW w:w="3119" w:type="dxa"/>
            <w:tcMar>
              <w:top w:w="57" w:type="dxa"/>
              <w:bottom w:w="57" w:type="dxa"/>
            </w:tcMar>
          </w:tcPr>
          <w:p w14:paraId="0E667CBB" w14:textId="4F495F96" w:rsidR="00FC63C4" w:rsidRPr="00D20146" w:rsidRDefault="00FC63C4" w:rsidP="00FC63C4">
            <w:pPr>
              <w:rPr>
                <w:rFonts w:cs="Arial"/>
                <w:sz w:val="20"/>
                <w:szCs w:val="20"/>
              </w:rPr>
            </w:pPr>
          </w:p>
        </w:tc>
        <w:tc>
          <w:tcPr>
            <w:tcW w:w="1134" w:type="dxa"/>
            <w:tcMar>
              <w:top w:w="57" w:type="dxa"/>
              <w:bottom w:w="57" w:type="dxa"/>
            </w:tcMar>
          </w:tcPr>
          <w:p w14:paraId="039CF993" w14:textId="0DD7534B" w:rsidR="00FC63C4" w:rsidRPr="00D20146" w:rsidRDefault="00AB2C0F" w:rsidP="00FC63C4">
            <w:pPr>
              <w:rPr>
                <w:rFonts w:cs="Arial"/>
                <w:sz w:val="20"/>
                <w:szCs w:val="20"/>
              </w:rPr>
            </w:pPr>
            <w:r>
              <w:rPr>
                <w:rFonts w:cs="Arial"/>
                <w:sz w:val="20"/>
                <w:szCs w:val="20"/>
              </w:rPr>
              <w:t>LP</w:t>
            </w:r>
          </w:p>
        </w:tc>
        <w:tc>
          <w:tcPr>
            <w:tcW w:w="1097" w:type="dxa"/>
          </w:tcPr>
          <w:p w14:paraId="381F31D4" w14:textId="227C18FC" w:rsidR="00FC63C4" w:rsidRPr="00D20146" w:rsidRDefault="00AB2C0F" w:rsidP="00FC63C4">
            <w:pPr>
              <w:rPr>
                <w:rFonts w:cs="Arial"/>
                <w:sz w:val="20"/>
                <w:szCs w:val="20"/>
              </w:rPr>
            </w:pPr>
            <w:r>
              <w:rPr>
                <w:rFonts w:cs="Arial"/>
                <w:sz w:val="20"/>
                <w:szCs w:val="20"/>
              </w:rPr>
              <w:t>£2,256</w:t>
            </w:r>
          </w:p>
        </w:tc>
      </w:tr>
      <w:tr w:rsidR="00FC63C4" w:rsidRPr="00D20146" w14:paraId="0A921138" w14:textId="77777777" w:rsidTr="00074D9F">
        <w:tc>
          <w:tcPr>
            <w:tcW w:w="5098" w:type="dxa"/>
            <w:shd w:val="clear" w:color="auto" w:fill="auto"/>
            <w:tcMar>
              <w:top w:w="57" w:type="dxa"/>
              <w:bottom w:w="57" w:type="dxa"/>
            </w:tcMar>
          </w:tcPr>
          <w:p w14:paraId="020FCE53" w14:textId="60B24614" w:rsidR="00FC63C4" w:rsidRPr="00D20146" w:rsidRDefault="00DA157A" w:rsidP="00AB2C0F">
            <w:pPr>
              <w:pStyle w:val="Default"/>
              <w:rPr>
                <w:sz w:val="20"/>
                <w:szCs w:val="20"/>
              </w:rPr>
            </w:pPr>
            <w:r>
              <w:rPr>
                <w:sz w:val="20"/>
                <w:szCs w:val="20"/>
              </w:rPr>
              <w:t>Additional ‘boosters’ for impacted Y5 pupils (2.5 hours for 11 weeks)</w:t>
            </w:r>
          </w:p>
        </w:tc>
        <w:tc>
          <w:tcPr>
            <w:tcW w:w="4678" w:type="dxa"/>
            <w:shd w:val="clear" w:color="auto" w:fill="auto"/>
            <w:tcMar>
              <w:top w:w="57" w:type="dxa"/>
              <w:bottom w:w="57" w:type="dxa"/>
            </w:tcMar>
          </w:tcPr>
          <w:p w14:paraId="645AC5A8" w14:textId="0AE8E3A6" w:rsidR="00D11429" w:rsidRPr="00753A6A" w:rsidRDefault="004A140E" w:rsidP="00753A6A">
            <w:pPr>
              <w:pStyle w:val="Default"/>
              <w:rPr>
                <w:rFonts w:asciiTheme="minorHAnsi" w:hAnsiTheme="minorHAnsi"/>
                <w:i/>
                <w:sz w:val="20"/>
                <w:szCs w:val="20"/>
              </w:rPr>
            </w:pPr>
            <w:r w:rsidRPr="00753A6A">
              <w:rPr>
                <w:rFonts w:asciiTheme="minorHAnsi" w:hAnsiTheme="minorHAnsi"/>
                <w:i/>
                <w:sz w:val="20"/>
                <w:szCs w:val="20"/>
              </w:rPr>
              <w:t xml:space="preserve">To raise attainment </w:t>
            </w:r>
            <w:r w:rsidR="00753A6A">
              <w:rPr>
                <w:rFonts w:asciiTheme="minorHAnsi" w:hAnsiTheme="minorHAnsi"/>
                <w:i/>
                <w:sz w:val="20"/>
                <w:szCs w:val="20"/>
              </w:rPr>
              <w:t xml:space="preserve">in </w:t>
            </w:r>
            <w:r w:rsidR="00753A6A" w:rsidRPr="00753A6A">
              <w:rPr>
                <w:rFonts w:asciiTheme="minorHAnsi" w:hAnsiTheme="minorHAnsi"/>
                <w:i/>
                <w:sz w:val="20"/>
                <w:szCs w:val="20"/>
              </w:rPr>
              <w:t>Maths and English through targeted, small group ‘booster’</w:t>
            </w:r>
            <w:r w:rsidR="00753A6A">
              <w:rPr>
                <w:rFonts w:asciiTheme="minorHAnsi" w:hAnsiTheme="minorHAnsi"/>
                <w:i/>
                <w:sz w:val="20"/>
                <w:szCs w:val="20"/>
              </w:rPr>
              <w:t xml:space="preserve"> sessions .Key skills, knowledge </w:t>
            </w:r>
            <w:proofErr w:type="gramStart"/>
            <w:r w:rsidR="00753A6A">
              <w:rPr>
                <w:rFonts w:asciiTheme="minorHAnsi" w:hAnsiTheme="minorHAnsi"/>
                <w:i/>
                <w:sz w:val="20"/>
                <w:szCs w:val="20"/>
              </w:rPr>
              <w:t>and  concepts</w:t>
            </w:r>
            <w:proofErr w:type="gramEnd"/>
            <w:r w:rsidR="00753A6A">
              <w:rPr>
                <w:rFonts w:asciiTheme="minorHAnsi" w:hAnsiTheme="minorHAnsi"/>
                <w:i/>
                <w:sz w:val="20"/>
                <w:szCs w:val="20"/>
              </w:rPr>
              <w:t xml:space="preserve"> to be secured as well as improve exam technique.</w:t>
            </w:r>
          </w:p>
        </w:tc>
        <w:tc>
          <w:tcPr>
            <w:tcW w:w="3119" w:type="dxa"/>
            <w:shd w:val="clear" w:color="auto" w:fill="auto"/>
            <w:tcMar>
              <w:top w:w="57" w:type="dxa"/>
              <w:bottom w:w="57" w:type="dxa"/>
            </w:tcMar>
          </w:tcPr>
          <w:p w14:paraId="363D0F13" w14:textId="77777777" w:rsidR="00FC63C4" w:rsidRDefault="00FC63C4" w:rsidP="00FC63C4">
            <w:pPr>
              <w:rPr>
                <w:rFonts w:cs="Arial"/>
                <w:sz w:val="20"/>
                <w:szCs w:val="20"/>
              </w:rPr>
            </w:pPr>
          </w:p>
          <w:p w14:paraId="5F7823F1" w14:textId="77777777" w:rsidR="00D32E62" w:rsidRDefault="00D32E62" w:rsidP="00FC63C4">
            <w:pPr>
              <w:rPr>
                <w:rFonts w:cs="Arial"/>
                <w:sz w:val="20"/>
                <w:szCs w:val="20"/>
              </w:rPr>
            </w:pPr>
          </w:p>
          <w:p w14:paraId="095D9D0B" w14:textId="032F68BA" w:rsidR="00D32E62" w:rsidRPr="00D20146" w:rsidRDefault="00D32E62" w:rsidP="00FC63C4">
            <w:pPr>
              <w:rPr>
                <w:rFonts w:cs="Arial"/>
                <w:sz w:val="20"/>
                <w:szCs w:val="20"/>
              </w:rPr>
            </w:pPr>
          </w:p>
        </w:tc>
        <w:tc>
          <w:tcPr>
            <w:tcW w:w="1134" w:type="dxa"/>
            <w:shd w:val="clear" w:color="auto" w:fill="auto"/>
            <w:tcMar>
              <w:top w:w="57" w:type="dxa"/>
              <w:bottom w:w="57" w:type="dxa"/>
            </w:tcMar>
          </w:tcPr>
          <w:p w14:paraId="7F9CD005" w14:textId="77777777" w:rsidR="00D32E62" w:rsidRDefault="00D32E62" w:rsidP="00FC63C4">
            <w:pPr>
              <w:rPr>
                <w:rFonts w:cs="Arial"/>
                <w:sz w:val="20"/>
                <w:szCs w:val="20"/>
              </w:rPr>
            </w:pPr>
          </w:p>
          <w:p w14:paraId="3DE5490D" w14:textId="3237593D" w:rsidR="00D32E62" w:rsidRDefault="00DA157A" w:rsidP="00FC63C4">
            <w:pPr>
              <w:rPr>
                <w:rFonts w:cs="Arial"/>
                <w:sz w:val="20"/>
                <w:szCs w:val="20"/>
              </w:rPr>
            </w:pPr>
            <w:r>
              <w:rPr>
                <w:rFonts w:cs="Arial"/>
                <w:sz w:val="20"/>
                <w:szCs w:val="20"/>
              </w:rPr>
              <w:t>NB</w:t>
            </w:r>
          </w:p>
          <w:p w14:paraId="20304DAB" w14:textId="77777777" w:rsidR="00D32E62" w:rsidRDefault="00D32E62" w:rsidP="00FC63C4">
            <w:pPr>
              <w:rPr>
                <w:rFonts w:cs="Arial"/>
                <w:sz w:val="20"/>
                <w:szCs w:val="20"/>
              </w:rPr>
            </w:pPr>
          </w:p>
          <w:p w14:paraId="2CCBF86C" w14:textId="4BDD9B92" w:rsidR="00D32E62" w:rsidRPr="00D20146" w:rsidRDefault="00D32E62" w:rsidP="00D32E62">
            <w:pPr>
              <w:rPr>
                <w:rFonts w:cs="Arial"/>
                <w:sz w:val="20"/>
                <w:szCs w:val="20"/>
              </w:rPr>
            </w:pPr>
          </w:p>
        </w:tc>
        <w:tc>
          <w:tcPr>
            <w:tcW w:w="1097" w:type="dxa"/>
            <w:shd w:val="clear" w:color="auto" w:fill="auto"/>
          </w:tcPr>
          <w:p w14:paraId="189BADF0" w14:textId="77777777" w:rsidR="00FC63C4" w:rsidRDefault="00FC63C4" w:rsidP="00FC63C4">
            <w:pPr>
              <w:rPr>
                <w:rFonts w:cs="Arial"/>
                <w:sz w:val="20"/>
                <w:szCs w:val="20"/>
              </w:rPr>
            </w:pPr>
          </w:p>
          <w:p w14:paraId="276C91AD" w14:textId="4F14EF30" w:rsidR="00D32E62" w:rsidRDefault="000435FB" w:rsidP="00FC63C4">
            <w:pPr>
              <w:rPr>
                <w:rFonts w:cs="Arial"/>
                <w:sz w:val="20"/>
                <w:szCs w:val="20"/>
              </w:rPr>
            </w:pPr>
            <w:r>
              <w:rPr>
                <w:rFonts w:cs="Arial"/>
                <w:sz w:val="20"/>
                <w:szCs w:val="20"/>
              </w:rPr>
              <w:t>£100</w:t>
            </w:r>
            <w:r w:rsidR="00A355F3">
              <w:rPr>
                <w:rFonts w:cs="Arial"/>
                <w:sz w:val="20"/>
                <w:szCs w:val="20"/>
              </w:rPr>
              <w:t>0</w:t>
            </w:r>
          </w:p>
          <w:p w14:paraId="280608F3" w14:textId="0FA61E09" w:rsidR="00D32E62" w:rsidRPr="00D20146" w:rsidRDefault="00D32E62" w:rsidP="00D32E62">
            <w:pPr>
              <w:rPr>
                <w:rFonts w:cs="Arial"/>
                <w:sz w:val="20"/>
                <w:szCs w:val="20"/>
              </w:rPr>
            </w:pPr>
          </w:p>
        </w:tc>
      </w:tr>
      <w:tr w:rsidR="00614DBF" w:rsidRPr="00D20146" w14:paraId="46175A21" w14:textId="77777777" w:rsidTr="00FC63C4">
        <w:tc>
          <w:tcPr>
            <w:tcW w:w="5098" w:type="dxa"/>
            <w:tcMar>
              <w:top w:w="57" w:type="dxa"/>
              <w:bottom w:w="57" w:type="dxa"/>
            </w:tcMar>
          </w:tcPr>
          <w:p w14:paraId="2BAA6938" w14:textId="439357B8" w:rsidR="00614DBF" w:rsidRDefault="00FC12C5" w:rsidP="00FC63C4">
            <w:pPr>
              <w:pStyle w:val="Default"/>
              <w:rPr>
                <w:rFonts w:asciiTheme="minorHAnsi" w:hAnsiTheme="minorHAnsi" w:cstheme="minorHAnsi"/>
                <w:sz w:val="22"/>
                <w:szCs w:val="22"/>
              </w:rPr>
            </w:pPr>
            <w:r w:rsidRPr="00FC12C5">
              <w:rPr>
                <w:rFonts w:asciiTheme="minorHAnsi" w:hAnsiTheme="minorHAnsi" w:cstheme="minorHAnsi"/>
                <w:sz w:val="22"/>
                <w:szCs w:val="22"/>
              </w:rPr>
              <w:t>Additional ‘booster’ sessions for impacted Y3, Y4 and Y6 pupils</w:t>
            </w:r>
            <w:r>
              <w:rPr>
                <w:rFonts w:asciiTheme="minorHAnsi" w:hAnsiTheme="minorHAnsi" w:cstheme="minorHAnsi"/>
                <w:sz w:val="22"/>
                <w:szCs w:val="22"/>
              </w:rPr>
              <w:t xml:space="preserve"> </w:t>
            </w:r>
            <w:r w:rsidR="00EC579B">
              <w:rPr>
                <w:rFonts w:asciiTheme="minorHAnsi" w:hAnsiTheme="minorHAnsi" w:cstheme="minorHAnsi"/>
                <w:sz w:val="22"/>
                <w:szCs w:val="22"/>
              </w:rPr>
              <w:t>(2 afternoons x 10 weeks)</w:t>
            </w:r>
          </w:p>
          <w:p w14:paraId="6C7BF4D8" w14:textId="01BF4E7B" w:rsidR="00EC579B" w:rsidRPr="00FC12C5" w:rsidRDefault="00EC579B" w:rsidP="00FC63C4">
            <w:pPr>
              <w:pStyle w:val="Default"/>
              <w:rPr>
                <w:rFonts w:asciiTheme="minorHAnsi" w:hAnsiTheme="minorHAnsi" w:cstheme="minorHAnsi"/>
                <w:sz w:val="22"/>
                <w:szCs w:val="22"/>
              </w:rPr>
            </w:pPr>
          </w:p>
        </w:tc>
        <w:tc>
          <w:tcPr>
            <w:tcW w:w="4678" w:type="dxa"/>
            <w:tcMar>
              <w:top w:w="57" w:type="dxa"/>
              <w:bottom w:w="57" w:type="dxa"/>
            </w:tcMar>
          </w:tcPr>
          <w:p w14:paraId="57C12D7E" w14:textId="77777777" w:rsidR="00614DBF" w:rsidRDefault="00753A6A" w:rsidP="00FC63C4">
            <w:pPr>
              <w:pStyle w:val="Default"/>
              <w:rPr>
                <w:rFonts w:asciiTheme="minorHAnsi" w:hAnsiTheme="minorHAnsi"/>
                <w:i/>
                <w:sz w:val="20"/>
                <w:szCs w:val="20"/>
              </w:rPr>
            </w:pPr>
            <w:r w:rsidRPr="00753A6A">
              <w:rPr>
                <w:rFonts w:asciiTheme="minorHAnsi" w:hAnsiTheme="minorHAnsi"/>
                <w:i/>
                <w:sz w:val="20"/>
                <w:szCs w:val="20"/>
              </w:rPr>
              <w:t xml:space="preserve">To raise attainment </w:t>
            </w:r>
            <w:r>
              <w:rPr>
                <w:rFonts w:asciiTheme="minorHAnsi" w:hAnsiTheme="minorHAnsi"/>
                <w:i/>
                <w:sz w:val="20"/>
                <w:szCs w:val="20"/>
              </w:rPr>
              <w:t xml:space="preserve">in </w:t>
            </w:r>
            <w:r w:rsidRPr="00753A6A">
              <w:rPr>
                <w:rFonts w:asciiTheme="minorHAnsi" w:hAnsiTheme="minorHAnsi"/>
                <w:i/>
                <w:sz w:val="20"/>
                <w:szCs w:val="20"/>
              </w:rPr>
              <w:t>Maths and English through targeted, small group ‘booster’</w:t>
            </w:r>
            <w:r>
              <w:rPr>
                <w:rFonts w:asciiTheme="minorHAnsi" w:hAnsiTheme="minorHAnsi"/>
                <w:i/>
                <w:sz w:val="20"/>
                <w:szCs w:val="20"/>
              </w:rPr>
              <w:t xml:space="preserve"> sessions .Key skills, knowledge </w:t>
            </w:r>
            <w:proofErr w:type="gramStart"/>
            <w:r>
              <w:rPr>
                <w:rFonts w:asciiTheme="minorHAnsi" w:hAnsiTheme="minorHAnsi"/>
                <w:i/>
                <w:sz w:val="20"/>
                <w:szCs w:val="20"/>
              </w:rPr>
              <w:t>and  concepts</w:t>
            </w:r>
            <w:proofErr w:type="gramEnd"/>
            <w:r>
              <w:rPr>
                <w:rFonts w:asciiTheme="minorHAnsi" w:hAnsiTheme="minorHAnsi"/>
                <w:i/>
                <w:sz w:val="20"/>
                <w:szCs w:val="20"/>
              </w:rPr>
              <w:t xml:space="preserve"> to be secured as well as improve exam technique.</w:t>
            </w:r>
          </w:p>
          <w:p w14:paraId="6A6CE8E5" w14:textId="64A1BBFD" w:rsidR="00E50E1E" w:rsidRPr="00753A6A" w:rsidRDefault="00E50E1E" w:rsidP="00FC63C4">
            <w:pPr>
              <w:pStyle w:val="Default"/>
              <w:rPr>
                <w:rFonts w:asciiTheme="minorHAnsi" w:hAnsiTheme="minorHAnsi"/>
                <w:b/>
                <w:i/>
                <w:sz w:val="20"/>
                <w:szCs w:val="20"/>
              </w:rPr>
            </w:pPr>
          </w:p>
        </w:tc>
        <w:tc>
          <w:tcPr>
            <w:tcW w:w="3119" w:type="dxa"/>
            <w:tcMar>
              <w:top w:w="57" w:type="dxa"/>
              <w:bottom w:w="57" w:type="dxa"/>
            </w:tcMar>
          </w:tcPr>
          <w:p w14:paraId="6F2F7EB7" w14:textId="77777777" w:rsidR="00614DBF" w:rsidRPr="00D20146" w:rsidRDefault="00614DBF" w:rsidP="00FC63C4">
            <w:pPr>
              <w:rPr>
                <w:rFonts w:cs="Arial"/>
                <w:sz w:val="20"/>
                <w:szCs w:val="20"/>
              </w:rPr>
            </w:pPr>
          </w:p>
        </w:tc>
        <w:tc>
          <w:tcPr>
            <w:tcW w:w="1134" w:type="dxa"/>
            <w:tcMar>
              <w:top w:w="57" w:type="dxa"/>
              <w:bottom w:w="57" w:type="dxa"/>
            </w:tcMar>
          </w:tcPr>
          <w:p w14:paraId="36CCFC3A" w14:textId="77777777" w:rsidR="00614DBF" w:rsidRDefault="00614DBF" w:rsidP="00FC63C4">
            <w:pPr>
              <w:rPr>
                <w:rFonts w:cs="Arial"/>
                <w:sz w:val="20"/>
                <w:szCs w:val="20"/>
              </w:rPr>
            </w:pPr>
          </w:p>
          <w:p w14:paraId="0C1D3768" w14:textId="03C4EE1B" w:rsidR="00A355F3" w:rsidRDefault="00A355F3" w:rsidP="00FC63C4">
            <w:pPr>
              <w:rPr>
                <w:rFonts w:cs="Arial"/>
                <w:sz w:val="20"/>
                <w:szCs w:val="20"/>
              </w:rPr>
            </w:pPr>
            <w:r>
              <w:rPr>
                <w:rFonts w:cs="Arial"/>
                <w:sz w:val="20"/>
                <w:szCs w:val="20"/>
              </w:rPr>
              <w:t>RN</w:t>
            </w:r>
          </w:p>
        </w:tc>
        <w:tc>
          <w:tcPr>
            <w:tcW w:w="1097" w:type="dxa"/>
          </w:tcPr>
          <w:p w14:paraId="5A4EA6FF" w14:textId="77777777" w:rsidR="00614DBF" w:rsidRDefault="00614DBF" w:rsidP="00FC63C4">
            <w:pPr>
              <w:rPr>
                <w:rFonts w:cs="Arial"/>
                <w:sz w:val="20"/>
                <w:szCs w:val="20"/>
              </w:rPr>
            </w:pPr>
          </w:p>
          <w:p w14:paraId="57E34D3F" w14:textId="46884B1D" w:rsidR="00A355F3" w:rsidRDefault="00A355F3" w:rsidP="00FC63C4">
            <w:pPr>
              <w:rPr>
                <w:rFonts w:cs="Arial"/>
                <w:sz w:val="20"/>
                <w:szCs w:val="20"/>
              </w:rPr>
            </w:pPr>
            <w:r>
              <w:rPr>
                <w:rFonts w:cs="Arial"/>
                <w:sz w:val="20"/>
                <w:szCs w:val="20"/>
              </w:rPr>
              <w:t>£2,</w:t>
            </w:r>
            <w:r w:rsidR="000435FB">
              <w:rPr>
                <w:rFonts w:cs="Arial"/>
                <w:sz w:val="20"/>
                <w:szCs w:val="20"/>
              </w:rPr>
              <w:t>5</w:t>
            </w:r>
            <w:r>
              <w:rPr>
                <w:rFonts w:cs="Arial"/>
                <w:sz w:val="20"/>
                <w:szCs w:val="20"/>
              </w:rPr>
              <w:t>00</w:t>
            </w:r>
          </w:p>
        </w:tc>
      </w:tr>
      <w:tr w:rsidR="00FC63C4" w:rsidRPr="00D20146" w14:paraId="62350F64" w14:textId="77777777" w:rsidTr="000A739A">
        <w:trPr>
          <w:trHeight w:hRule="exact" w:val="458"/>
        </w:trPr>
        <w:tc>
          <w:tcPr>
            <w:tcW w:w="14029" w:type="dxa"/>
            <w:gridSpan w:val="4"/>
            <w:shd w:val="clear" w:color="auto" w:fill="95B3D7" w:themeFill="accent1" w:themeFillTint="99"/>
            <w:tcMar>
              <w:top w:w="57" w:type="dxa"/>
              <w:bottom w:w="57" w:type="dxa"/>
            </w:tcMar>
          </w:tcPr>
          <w:p w14:paraId="20AB5B00" w14:textId="77777777" w:rsidR="00FC63C4" w:rsidRPr="009B5AD6" w:rsidRDefault="00FC63C4" w:rsidP="00FC63C4">
            <w:pPr>
              <w:jc w:val="right"/>
              <w:rPr>
                <w:rFonts w:cs="Arial"/>
                <w:color w:val="FF0000"/>
                <w:sz w:val="20"/>
                <w:szCs w:val="20"/>
              </w:rPr>
            </w:pPr>
            <w:r w:rsidRPr="009B5AD6">
              <w:rPr>
                <w:rFonts w:cs="Arial"/>
                <w:b/>
                <w:color w:val="FF0000"/>
                <w:sz w:val="20"/>
                <w:szCs w:val="20"/>
              </w:rPr>
              <w:t>Total budgeted cost</w:t>
            </w:r>
          </w:p>
        </w:tc>
        <w:tc>
          <w:tcPr>
            <w:tcW w:w="1097" w:type="dxa"/>
          </w:tcPr>
          <w:p w14:paraId="68CED7AE" w14:textId="39EB4554" w:rsidR="00FC63C4" w:rsidRPr="009B5AD6" w:rsidRDefault="000435FB" w:rsidP="00FC63C4">
            <w:pPr>
              <w:rPr>
                <w:rFonts w:cs="Arial"/>
                <w:b/>
                <w:color w:val="FF0000"/>
                <w:sz w:val="20"/>
                <w:szCs w:val="20"/>
              </w:rPr>
            </w:pPr>
            <w:r>
              <w:rPr>
                <w:rFonts w:cs="Arial"/>
                <w:b/>
                <w:color w:val="FF0000"/>
                <w:sz w:val="20"/>
                <w:szCs w:val="20"/>
              </w:rPr>
              <w:t>£7,256</w:t>
            </w:r>
          </w:p>
        </w:tc>
      </w:tr>
    </w:tbl>
    <w:p w14:paraId="02DF8567" w14:textId="77777777" w:rsidR="00395803" w:rsidRDefault="00395803" w:rsidP="0004731E">
      <w:pPr>
        <w:rPr>
          <w:sz w:val="18"/>
          <w:szCs w:val="18"/>
        </w:rPr>
      </w:pPr>
    </w:p>
    <w:p w14:paraId="1D12F554" w14:textId="77777777" w:rsidR="00D20146" w:rsidRDefault="00D20146" w:rsidP="0004731E">
      <w:pPr>
        <w:rPr>
          <w:sz w:val="18"/>
          <w:szCs w:val="18"/>
        </w:rPr>
      </w:pPr>
    </w:p>
    <w:tbl>
      <w:tblPr>
        <w:tblStyle w:val="TableGrid"/>
        <w:tblW w:w="0" w:type="auto"/>
        <w:tblInd w:w="-5" w:type="dxa"/>
        <w:tblLook w:val="04A0" w:firstRow="1" w:lastRow="0" w:firstColumn="1" w:lastColumn="0" w:noHBand="0" w:noVBand="1"/>
      </w:tblPr>
      <w:tblGrid>
        <w:gridCol w:w="4957"/>
        <w:gridCol w:w="4824"/>
        <w:gridCol w:w="3119"/>
        <w:gridCol w:w="1134"/>
        <w:gridCol w:w="1097"/>
      </w:tblGrid>
      <w:tr w:rsidR="00D20146" w:rsidRPr="00D20146" w14:paraId="19A868AA" w14:textId="77777777" w:rsidTr="000A739A">
        <w:trPr>
          <w:trHeight w:hRule="exact" w:val="312"/>
        </w:trPr>
        <w:tc>
          <w:tcPr>
            <w:tcW w:w="0" w:type="auto"/>
            <w:gridSpan w:val="5"/>
            <w:shd w:val="clear" w:color="auto" w:fill="95B3D7" w:themeFill="accent1" w:themeFillTint="99"/>
            <w:tcMar>
              <w:top w:w="57" w:type="dxa"/>
              <w:bottom w:w="57" w:type="dxa"/>
            </w:tcMar>
          </w:tcPr>
          <w:p w14:paraId="7ADD5F92" w14:textId="7E2E2656" w:rsidR="00D20146" w:rsidRPr="00E67C36" w:rsidRDefault="00A779A1" w:rsidP="00E67C36">
            <w:pPr>
              <w:pStyle w:val="ListParagraph"/>
              <w:numPr>
                <w:ilvl w:val="0"/>
                <w:numId w:val="14"/>
              </w:numPr>
              <w:rPr>
                <w:rFonts w:cs="Arial"/>
                <w:b/>
                <w:sz w:val="20"/>
                <w:szCs w:val="20"/>
              </w:rPr>
            </w:pPr>
            <w:r>
              <w:rPr>
                <w:rFonts w:cs="Arial"/>
                <w:b/>
                <w:sz w:val="20"/>
                <w:szCs w:val="20"/>
              </w:rPr>
              <w:t>Wider Strategies</w:t>
            </w:r>
          </w:p>
        </w:tc>
      </w:tr>
      <w:tr w:rsidR="00443E49" w:rsidRPr="00D20146" w14:paraId="48B79200" w14:textId="77777777" w:rsidTr="000A739A">
        <w:tc>
          <w:tcPr>
            <w:tcW w:w="4957" w:type="dxa"/>
            <w:shd w:val="clear" w:color="auto" w:fill="95B3D7" w:themeFill="accent1" w:themeFillTint="99"/>
            <w:tcMar>
              <w:top w:w="57" w:type="dxa"/>
              <w:bottom w:w="57" w:type="dxa"/>
            </w:tcMar>
          </w:tcPr>
          <w:p w14:paraId="6CC408B6" w14:textId="1377FF38" w:rsidR="00443E49" w:rsidRPr="00D20146" w:rsidRDefault="00DA157A" w:rsidP="00443E49">
            <w:pPr>
              <w:rPr>
                <w:rFonts w:cs="Arial"/>
                <w:b/>
                <w:sz w:val="20"/>
                <w:szCs w:val="20"/>
              </w:rPr>
            </w:pPr>
            <w:r>
              <w:rPr>
                <w:rFonts w:cs="Arial"/>
                <w:b/>
                <w:sz w:val="20"/>
                <w:szCs w:val="20"/>
              </w:rPr>
              <w:t>Chosen Approach</w:t>
            </w:r>
          </w:p>
        </w:tc>
        <w:tc>
          <w:tcPr>
            <w:tcW w:w="4824" w:type="dxa"/>
            <w:shd w:val="clear" w:color="auto" w:fill="95B3D7" w:themeFill="accent1" w:themeFillTint="99"/>
            <w:tcMar>
              <w:top w:w="57" w:type="dxa"/>
              <w:bottom w:w="57" w:type="dxa"/>
            </w:tcMar>
          </w:tcPr>
          <w:p w14:paraId="378F2ED8" w14:textId="3F9A3407" w:rsidR="00443E49" w:rsidRPr="00D20146" w:rsidRDefault="00DA157A" w:rsidP="00443E49">
            <w:pPr>
              <w:rPr>
                <w:rFonts w:cs="Arial"/>
                <w:b/>
                <w:sz w:val="20"/>
                <w:szCs w:val="20"/>
              </w:rPr>
            </w:pPr>
            <w:r>
              <w:rPr>
                <w:rFonts w:cs="Arial"/>
                <w:b/>
                <w:sz w:val="20"/>
                <w:szCs w:val="20"/>
              </w:rPr>
              <w:t>Desired Outcome</w:t>
            </w:r>
          </w:p>
        </w:tc>
        <w:tc>
          <w:tcPr>
            <w:tcW w:w="3119" w:type="dxa"/>
            <w:shd w:val="clear" w:color="auto" w:fill="95B3D7" w:themeFill="accent1" w:themeFillTint="99"/>
            <w:tcMar>
              <w:top w:w="57" w:type="dxa"/>
              <w:bottom w:w="57" w:type="dxa"/>
            </w:tcMar>
          </w:tcPr>
          <w:p w14:paraId="0B04F0B6" w14:textId="59947D2E" w:rsidR="00443E49" w:rsidRPr="00D20146" w:rsidRDefault="00443E49" w:rsidP="00443E49">
            <w:pPr>
              <w:rPr>
                <w:rFonts w:cs="Arial"/>
                <w:b/>
                <w:sz w:val="20"/>
                <w:szCs w:val="20"/>
              </w:rPr>
            </w:pPr>
            <w:r>
              <w:rPr>
                <w:rFonts w:cs="Arial"/>
                <w:b/>
                <w:sz w:val="20"/>
                <w:szCs w:val="20"/>
              </w:rPr>
              <w:t>Impact (once reviewed)</w:t>
            </w:r>
          </w:p>
        </w:tc>
        <w:tc>
          <w:tcPr>
            <w:tcW w:w="1134" w:type="dxa"/>
            <w:shd w:val="clear" w:color="auto" w:fill="95B3D7" w:themeFill="accent1" w:themeFillTint="99"/>
            <w:tcMar>
              <w:top w:w="57" w:type="dxa"/>
              <w:bottom w:w="57" w:type="dxa"/>
            </w:tcMar>
          </w:tcPr>
          <w:p w14:paraId="41623867"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shd w:val="clear" w:color="auto" w:fill="95B3D7" w:themeFill="accent1" w:themeFillTint="99"/>
          </w:tcPr>
          <w:p w14:paraId="701AA1A1" w14:textId="2953E983" w:rsidR="00443E49" w:rsidRPr="00D20146" w:rsidRDefault="00A355F3" w:rsidP="00443E49">
            <w:pPr>
              <w:rPr>
                <w:rFonts w:cs="Arial"/>
                <w:b/>
                <w:sz w:val="20"/>
                <w:szCs w:val="20"/>
              </w:rPr>
            </w:pPr>
            <w:r>
              <w:rPr>
                <w:rFonts w:cs="Arial"/>
                <w:b/>
                <w:sz w:val="20"/>
                <w:szCs w:val="20"/>
              </w:rPr>
              <w:t>Cost</w:t>
            </w:r>
          </w:p>
        </w:tc>
      </w:tr>
      <w:tr w:rsidR="00281156" w:rsidRPr="00D20146" w14:paraId="2C84BF6E" w14:textId="77777777" w:rsidTr="00074D9F">
        <w:tc>
          <w:tcPr>
            <w:tcW w:w="4957" w:type="dxa"/>
            <w:shd w:val="clear" w:color="auto" w:fill="auto"/>
            <w:tcMar>
              <w:top w:w="57" w:type="dxa"/>
              <w:bottom w:w="57" w:type="dxa"/>
            </w:tcMar>
          </w:tcPr>
          <w:p w14:paraId="669462C6" w14:textId="5E271F23" w:rsidR="00A53B99" w:rsidRPr="004D348C" w:rsidRDefault="004D348C" w:rsidP="004D348C">
            <w:pPr>
              <w:rPr>
                <w:rFonts w:cs="Arial"/>
                <w:sz w:val="20"/>
                <w:szCs w:val="20"/>
              </w:rPr>
            </w:pPr>
            <w:r w:rsidRPr="004D348C">
              <w:rPr>
                <w:rFonts w:cs="Arial"/>
                <w:sz w:val="20"/>
                <w:szCs w:val="20"/>
              </w:rPr>
              <w:t>Resources for Anxiety: Class</w:t>
            </w:r>
            <w:r>
              <w:rPr>
                <w:rFonts w:cs="Arial"/>
                <w:sz w:val="20"/>
                <w:szCs w:val="20"/>
              </w:rPr>
              <w:t xml:space="preserve"> packs with sensory aids</w:t>
            </w:r>
          </w:p>
        </w:tc>
        <w:tc>
          <w:tcPr>
            <w:tcW w:w="4824" w:type="dxa"/>
            <w:shd w:val="clear" w:color="auto" w:fill="auto"/>
            <w:tcMar>
              <w:top w:w="57" w:type="dxa"/>
              <w:bottom w:w="57" w:type="dxa"/>
            </w:tcMar>
          </w:tcPr>
          <w:p w14:paraId="3697696B" w14:textId="516BBCFF" w:rsidR="005E34EA" w:rsidRPr="00A417E1" w:rsidRDefault="00A417E1" w:rsidP="00A417E1">
            <w:pPr>
              <w:pStyle w:val="Default"/>
              <w:rPr>
                <w:rFonts w:asciiTheme="minorHAnsi" w:hAnsiTheme="minorHAnsi"/>
                <w:i/>
                <w:sz w:val="20"/>
                <w:szCs w:val="20"/>
              </w:rPr>
            </w:pPr>
            <w:r w:rsidRPr="00A417E1">
              <w:rPr>
                <w:rFonts w:asciiTheme="minorHAnsi" w:hAnsiTheme="minorHAnsi"/>
                <w:i/>
                <w:sz w:val="20"/>
                <w:szCs w:val="20"/>
              </w:rPr>
              <w:t xml:space="preserve">Children in each class to have a well-resourced ‘worry box’ of sensory resources to dip into. This will support </w:t>
            </w:r>
            <w:r>
              <w:rPr>
                <w:rFonts w:asciiTheme="minorHAnsi" w:hAnsiTheme="minorHAnsi"/>
                <w:i/>
                <w:sz w:val="20"/>
                <w:szCs w:val="20"/>
              </w:rPr>
              <w:t xml:space="preserve">many children across the school with </w:t>
            </w:r>
            <w:r w:rsidRPr="00A417E1">
              <w:rPr>
                <w:rFonts w:asciiTheme="minorHAnsi" w:hAnsiTheme="minorHAnsi"/>
                <w:i/>
                <w:sz w:val="20"/>
                <w:szCs w:val="20"/>
              </w:rPr>
              <w:t xml:space="preserve">occasional, low level anxiety.   </w:t>
            </w:r>
          </w:p>
        </w:tc>
        <w:tc>
          <w:tcPr>
            <w:tcW w:w="3119" w:type="dxa"/>
            <w:shd w:val="clear" w:color="auto" w:fill="auto"/>
            <w:tcMar>
              <w:top w:w="57" w:type="dxa"/>
              <w:bottom w:w="57" w:type="dxa"/>
            </w:tcMar>
          </w:tcPr>
          <w:p w14:paraId="4B74D00D" w14:textId="77777777" w:rsidR="00281156" w:rsidRDefault="00281156" w:rsidP="00A06E6A">
            <w:pPr>
              <w:rPr>
                <w:rFonts w:cs="Arial"/>
                <w:sz w:val="20"/>
                <w:szCs w:val="20"/>
              </w:rPr>
            </w:pPr>
          </w:p>
          <w:p w14:paraId="5B5E628E" w14:textId="77777777" w:rsidR="005E34EA" w:rsidRDefault="005E34EA" w:rsidP="00A06E6A">
            <w:pPr>
              <w:rPr>
                <w:rFonts w:cs="Arial"/>
                <w:sz w:val="20"/>
                <w:szCs w:val="20"/>
              </w:rPr>
            </w:pPr>
          </w:p>
          <w:p w14:paraId="69B3FBF2" w14:textId="5859B01F" w:rsidR="005E34EA" w:rsidRPr="00D20146" w:rsidRDefault="005E34EA" w:rsidP="00A06E6A">
            <w:pPr>
              <w:rPr>
                <w:rFonts w:cs="Arial"/>
                <w:sz w:val="20"/>
                <w:szCs w:val="20"/>
              </w:rPr>
            </w:pPr>
          </w:p>
        </w:tc>
        <w:tc>
          <w:tcPr>
            <w:tcW w:w="1134" w:type="dxa"/>
            <w:shd w:val="clear" w:color="auto" w:fill="auto"/>
            <w:tcMar>
              <w:top w:w="57" w:type="dxa"/>
              <w:bottom w:w="57" w:type="dxa"/>
            </w:tcMar>
          </w:tcPr>
          <w:p w14:paraId="6AACA94A" w14:textId="77777777" w:rsidR="001022B3" w:rsidRDefault="001022B3" w:rsidP="00A06E6A">
            <w:pPr>
              <w:rPr>
                <w:rFonts w:cs="Arial"/>
                <w:sz w:val="20"/>
                <w:szCs w:val="20"/>
              </w:rPr>
            </w:pPr>
          </w:p>
          <w:p w14:paraId="6B7B07F0" w14:textId="2D3E6A30" w:rsidR="005E34EA" w:rsidRPr="00D20146" w:rsidRDefault="00A417E1" w:rsidP="00A06E6A">
            <w:pPr>
              <w:rPr>
                <w:rFonts w:cs="Arial"/>
                <w:sz w:val="20"/>
                <w:szCs w:val="20"/>
              </w:rPr>
            </w:pPr>
            <w:r>
              <w:rPr>
                <w:rFonts w:cs="Arial"/>
                <w:sz w:val="20"/>
                <w:szCs w:val="20"/>
              </w:rPr>
              <w:t>CB</w:t>
            </w:r>
          </w:p>
        </w:tc>
        <w:tc>
          <w:tcPr>
            <w:tcW w:w="1097" w:type="dxa"/>
            <w:shd w:val="clear" w:color="auto" w:fill="auto"/>
          </w:tcPr>
          <w:p w14:paraId="71CCD93C" w14:textId="77777777" w:rsidR="001022B3" w:rsidRDefault="001022B3" w:rsidP="00A06E6A">
            <w:pPr>
              <w:rPr>
                <w:rFonts w:cs="Arial"/>
                <w:sz w:val="20"/>
                <w:szCs w:val="20"/>
              </w:rPr>
            </w:pPr>
          </w:p>
          <w:p w14:paraId="69EC6251" w14:textId="6BDFDADC" w:rsidR="000435FB" w:rsidRPr="00D20146" w:rsidRDefault="000435FB" w:rsidP="00A06E6A">
            <w:pPr>
              <w:rPr>
                <w:rFonts w:cs="Arial"/>
                <w:sz w:val="20"/>
                <w:szCs w:val="20"/>
              </w:rPr>
            </w:pPr>
            <w:r>
              <w:rPr>
                <w:rFonts w:cs="Arial"/>
                <w:sz w:val="20"/>
                <w:szCs w:val="20"/>
              </w:rPr>
              <w:t>£300</w:t>
            </w:r>
          </w:p>
        </w:tc>
      </w:tr>
      <w:tr w:rsidR="00A779A1" w:rsidRPr="00D20146" w14:paraId="3EF5D753" w14:textId="77777777" w:rsidTr="00640E1E">
        <w:tc>
          <w:tcPr>
            <w:tcW w:w="4957" w:type="dxa"/>
            <w:tcMar>
              <w:top w:w="57" w:type="dxa"/>
              <w:bottom w:w="57" w:type="dxa"/>
            </w:tcMar>
          </w:tcPr>
          <w:p w14:paraId="5E768EC7" w14:textId="413C2BE3" w:rsidR="009F0C84" w:rsidRPr="004D348C" w:rsidRDefault="004D348C" w:rsidP="00A06E6A">
            <w:pPr>
              <w:rPr>
                <w:rFonts w:cs="Arial"/>
                <w:sz w:val="20"/>
                <w:szCs w:val="20"/>
              </w:rPr>
            </w:pPr>
            <w:proofErr w:type="spellStart"/>
            <w:r w:rsidRPr="004D348C">
              <w:rPr>
                <w:rFonts w:cs="Arial"/>
                <w:sz w:val="20"/>
                <w:szCs w:val="20"/>
              </w:rPr>
              <w:t>Nessy</w:t>
            </w:r>
            <w:proofErr w:type="spellEnd"/>
            <w:r w:rsidRPr="004D348C">
              <w:rPr>
                <w:rFonts w:cs="Arial"/>
                <w:sz w:val="20"/>
                <w:szCs w:val="20"/>
              </w:rPr>
              <w:t xml:space="preserve"> Home Learning Subscription</w:t>
            </w:r>
            <w:r>
              <w:rPr>
                <w:rFonts w:cs="Arial"/>
                <w:sz w:val="20"/>
                <w:szCs w:val="20"/>
              </w:rPr>
              <w:t>: Home learning App for 14 most impacted readers across the school</w:t>
            </w:r>
          </w:p>
          <w:p w14:paraId="32D5E501" w14:textId="6D88B7ED" w:rsidR="001022B3" w:rsidRPr="00D20146" w:rsidRDefault="001022B3" w:rsidP="00074D9F">
            <w:pPr>
              <w:rPr>
                <w:rFonts w:cs="Arial"/>
                <w:sz w:val="20"/>
                <w:szCs w:val="20"/>
              </w:rPr>
            </w:pPr>
          </w:p>
        </w:tc>
        <w:tc>
          <w:tcPr>
            <w:tcW w:w="4824" w:type="dxa"/>
            <w:tcMar>
              <w:top w:w="57" w:type="dxa"/>
              <w:bottom w:w="57" w:type="dxa"/>
            </w:tcMar>
          </w:tcPr>
          <w:p w14:paraId="020CCEC7" w14:textId="3A388ADA" w:rsidR="00A779A1" w:rsidRPr="00A355F3" w:rsidRDefault="00A355F3" w:rsidP="00E67C36">
            <w:pPr>
              <w:pStyle w:val="Default"/>
              <w:rPr>
                <w:rFonts w:asciiTheme="minorHAnsi" w:hAnsiTheme="minorHAnsi"/>
                <w:bCs/>
                <w:i/>
                <w:sz w:val="20"/>
                <w:szCs w:val="20"/>
              </w:rPr>
            </w:pPr>
            <w:r w:rsidRPr="00A355F3">
              <w:rPr>
                <w:rFonts w:asciiTheme="minorHAnsi" w:hAnsiTheme="minorHAnsi"/>
                <w:bCs/>
                <w:i/>
                <w:sz w:val="20"/>
                <w:szCs w:val="20"/>
              </w:rPr>
              <w:t>The 14 most impacted pupils will be well supported in reading at home (as well as school) to underpin progress in the Summer term.</w:t>
            </w:r>
          </w:p>
          <w:p w14:paraId="52BF25AA" w14:textId="14ACD714" w:rsidR="00CB48D9" w:rsidRPr="001022B3" w:rsidRDefault="00CB48D9" w:rsidP="00572901">
            <w:pPr>
              <w:pStyle w:val="Default"/>
              <w:jc w:val="right"/>
              <w:rPr>
                <w:rFonts w:asciiTheme="minorHAnsi" w:hAnsiTheme="minorHAnsi"/>
                <w:b/>
                <w:i/>
                <w:color w:val="FF0000"/>
                <w:sz w:val="20"/>
                <w:szCs w:val="20"/>
              </w:rPr>
            </w:pPr>
          </w:p>
        </w:tc>
        <w:tc>
          <w:tcPr>
            <w:tcW w:w="3119" w:type="dxa"/>
            <w:tcMar>
              <w:top w:w="57" w:type="dxa"/>
              <w:bottom w:w="57" w:type="dxa"/>
            </w:tcMar>
          </w:tcPr>
          <w:p w14:paraId="0A14BD7B" w14:textId="79D03417" w:rsidR="00A779A1" w:rsidRPr="00D20146" w:rsidRDefault="00A779A1" w:rsidP="00A06E6A">
            <w:pPr>
              <w:rPr>
                <w:rFonts w:cs="Arial"/>
                <w:sz w:val="20"/>
                <w:szCs w:val="20"/>
              </w:rPr>
            </w:pPr>
          </w:p>
        </w:tc>
        <w:tc>
          <w:tcPr>
            <w:tcW w:w="1134" w:type="dxa"/>
            <w:tcMar>
              <w:top w:w="57" w:type="dxa"/>
              <w:bottom w:w="57" w:type="dxa"/>
            </w:tcMar>
          </w:tcPr>
          <w:p w14:paraId="4E7C8E53" w14:textId="77777777" w:rsidR="00DA30BD" w:rsidRDefault="00DA30BD" w:rsidP="00A06E6A">
            <w:pPr>
              <w:rPr>
                <w:rFonts w:cs="Arial"/>
                <w:sz w:val="20"/>
                <w:szCs w:val="20"/>
              </w:rPr>
            </w:pPr>
          </w:p>
          <w:p w14:paraId="58B5DF8A" w14:textId="1B6CECA8" w:rsidR="00A417E1" w:rsidRPr="00D20146" w:rsidRDefault="00A417E1" w:rsidP="00A06E6A">
            <w:pPr>
              <w:rPr>
                <w:rFonts w:cs="Arial"/>
                <w:sz w:val="20"/>
                <w:szCs w:val="20"/>
              </w:rPr>
            </w:pPr>
            <w:r>
              <w:rPr>
                <w:rFonts w:cs="Arial"/>
                <w:sz w:val="20"/>
                <w:szCs w:val="20"/>
              </w:rPr>
              <w:t>CB</w:t>
            </w:r>
          </w:p>
        </w:tc>
        <w:tc>
          <w:tcPr>
            <w:tcW w:w="1097" w:type="dxa"/>
          </w:tcPr>
          <w:p w14:paraId="65CDF2E5" w14:textId="77777777" w:rsidR="00DA30BD" w:rsidRDefault="00DA30BD" w:rsidP="00A06E6A">
            <w:pPr>
              <w:rPr>
                <w:rFonts w:cs="Arial"/>
                <w:sz w:val="20"/>
                <w:szCs w:val="20"/>
              </w:rPr>
            </w:pPr>
          </w:p>
          <w:p w14:paraId="544D9264" w14:textId="637C2CF5" w:rsidR="000435FB" w:rsidRPr="00D20146" w:rsidRDefault="000435FB" w:rsidP="00A06E6A">
            <w:pPr>
              <w:rPr>
                <w:rFonts w:cs="Arial"/>
                <w:sz w:val="20"/>
                <w:szCs w:val="20"/>
              </w:rPr>
            </w:pPr>
            <w:r>
              <w:rPr>
                <w:rFonts w:cs="Arial"/>
                <w:sz w:val="20"/>
                <w:szCs w:val="20"/>
              </w:rPr>
              <w:t>£400</w:t>
            </w:r>
          </w:p>
        </w:tc>
      </w:tr>
      <w:tr w:rsidR="00A779A1" w:rsidRPr="00D20146" w14:paraId="1940A65A" w14:textId="77777777" w:rsidTr="00640E1E">
        <w:tc>
          <w:tcPr>
            <w:tcW w:w="4957" w:type="dxa"/>
            <w:tcMar>
              <w:top w:w="57" w:type="dxa"/>
              <w:bottom w:w="57" w:type="dxa"/>
            </w:tcMar>
          </w:tcPr>
          <w:p w14:paraId="26BFC5A7" w14:textId="77777777" w:rsidR="009F0C84" w:rsidRDefault="009F0C84" w:rsidP="00A06E6A">
            <w:pPr>
              <w:rPr>
                <w:rFonts w:cs="Arial"/>
                <w:b/>
                <w:sz w:val="20"/>
                <w:szCs w:val="20"/>
                <w:u w:val="single"/>
              </w:rPr>
            </w:pPr>
          </w:p>
          <w:p w14:paraId="39EAFCAE" w14:textId="19CABC4C" w:rsidR="004D348C" w:rsidRPr="00DA157A" w:rsidRDefault="00DA157A" w:rsidP="00A06E6A">
            <w:pPr>
              <w:rPr>
                <w:rFonts w:cs="Arial"/>
                <w:sz w:val="20"/>
                <w:szCs w:val="20"/>
              </w:rPr>
            </w:pPr>
            <w:r>
              <w:rPr>
                <w:rFonts w:cs="Arial"/>
                <w:sz w:val="20"/>
                <w:szCs w:val="20"/>
              </w:rPr>
              <w:t xml:space="preserve">5 </w:t>
            </w:r>
            <w:r w:rsidR="004D348C" w:rsidRPr="00DA157A">
              <w:rPr>
                <w:rFonts w:cs="Arial"/>
                <w:sz w:val="20"/>
                <w:szCs w:val="20"/>
              </w:rPr>
              <w:t>New Laptops</w:t>
            </w:r>
            <w:r>
              <w:rPr>
                <w:rFonts w:cs="Arial"/>
                <w:sz w:val="20"/>
                <w:szCs w:val="20"/>
              </w:rPr>
              <w:t xml:space="preserve"> purchased</w:t>
            </w:r>
          </w:p>
        </w:tc>
        <w:tc>
          <w:tcPr>
            <w:tcW w:w="4824" w:type="dxa"/>
            <w:tcMar>
              <w:top w:w="57" w:type="dxa"/>
              <w:bottom w:w="57" w:type="dxa"/>
            </w:tcMar>
          </w:tcPr>
          <w:p w14:paraId="06EC7708" w14:textId="4CDCBF7E" w:rsidR="00A779A1" w:rsidRPr="00A355F3" w:rsidRDefault="00A355F3" w:rsidP="00E67C36">
            <w:pPr>
              <w:pStyle w:val="Default"/>
              <w:rPr>
                <w:rFonts w:asciiTheme="minorHAnsi" w:hAnsiTheme="minorHAnsi"/>
                <w:bCs/>
                <w:i/>
                <w:sz w:val="20"/>
                <w:szCs w:val="20"/>
              </w:rPr>
            </w:pPr>
            <w:r w:rsidRPr="00A355F3">
              <w:rPr>
                <w:rFonts w:asciiTheme="minorHAnsi" w:hAnsiTheme="minorHAnsi"/>
                <w:bCs/>
                <w:i/>
                <w:sz w:val="20"/>
                <w:szCs w:val="20"/>
              </w:rPr>
              <w:t xml:space="preserve">5 additional children with no access to technology at home will be well supported in their learning </w:t>
            </w:r>
            <w:r>
              <w:rPr>
                <w:rFonts w:asciiTheme="minorHAnsi" w:hAnsiTheme="minorHAnsi"/>
                <w:bCs/>
                <w:i/>
                <w:sz w:val="20"/>
                <w:szCs w:val="20"/>
              </w:rPr>
              <w:t>with high quality resources.</w:t>
            </w:r>
          </w:p>
        </w:tc>
        <w:tc>
          <w:tcPr>
            <w:tcW w:w="3119" w:type="dxa"/>
            <w:tcMar>
              <w:top w:w="57" w:type="dxa"/>
              <w:bottom w:w="57" w:type="dxa"/>
            </w:tcMar>
          </w:tcPr>
          <w:p w14:paraId="389F1CE3" w14:textId="34F1BE5A" w:rsidR="00A779A1" w:rsidRPr="00D20146" w:rsidRDefault="00A779A1" w:rsidP="00A06E6A">
            <w:pPr>
              <w:rPr>
                <w:rFonts w:cs="Arial"/>
                <w:sz w:val="20"/>
                <w:szCs w:val="20"/>
              </w:rPr>
            </w:pPr>
          </w:p>
        </w:tc>
        <w:tc>
          <w:tcPr>
            <w:tcW w:w="1134" w:type="dxa"/>
            <w:tcMar>
              <w:top w:w="57" w:type="dxa"/>
              <w:bottom w:w="57" w:type="dxa"/>
            </w:tcMar>
          </w:tcPr>
          <w:p w14:paraId="7EB6BF39" w14:textId="77777777" w:rsidR="00A779A1" w:rsidRDefault="00A779A1" w:rsidP="00A06E6A">
            <w:pPr>
              <w:rPr>
                <w:rFonts w:cs="Arial"/>
                <w:sz w:val="20"/>
                <w:szCs w:val="20"/>
              </w:rPr>
            </w:pPr>
          </w:p>
          <w:p w14:paraId="4B240608" w14:textId="0AA53BEF" w:rsidR="00A355F3" w:rsidRPr="00D20146" w:rsidRDefault="00A355F3" w:rsidP="00A06E6A">
            <w:pPr>
              <w:rPr>
                <w:rFonts w:cs="Arial"/>
                <w:sz w:val="20"/>
                <w:szCs w:val="20"/>
              </w:rPr>
            </w:pPr>
            <w:r>
              <w:rPr>
                <w:rFonts w:cs="Arial"/>
                <w:sz w:val="20"/>
                <w:szCs w:val="20"/>
              </w:rPr>
              <w:t>MH</w:t>
            </w:r>
          </w:p>
        </w:tc>
        <w:tc>
          <w:tcPr>
            <w:tcW w:w="1097" w:type="dxa"/>
          </w:tcPr>
          <w:p w14:paraId="7893DD95" w14:textId="77777777" w:rsidR="00A779A1" w:rsidRDefault="00A779A1" w:rsidP="00A06E6A">
            <w:pPr>
              <w:rPr>
                <w:rFonts w:cs="Arial"/>
                <w:sz w:val="20"/>
                <w:szCs w:val="20"/>
              </w:rPr>
            </w:pPr>
          </w:p>
          <w:p w14:paraId="40084B61" w14:textId="1B9766F7" w:rsidR="000435FB" w:rsidRPr="00D20146" w:rsidRDefault="000435FB" w:rsidP="00A06E6A">
            <w:pPr>
              <w:rPr>
                <w:rFonts w:cs="Arial"/>
                <w:sz w:val="20"/>
                <w:szCs w:val="20"/>
              </w:rPr>
            </w:pPr>
            <w:r>
              <w:rPr>
                <w:rFonts w:cs="Arial"/>
                <w:sz w:val="20"/>
                <w:szCs w:val="20"/>
              </w:rPr>
              <w:t>£3,500</w:t>
            </w:r>
          </w:p>
        </w:tc>
      </w:tr>
      <w:tr w:rsidR="00D20146" w:rsidRPr="00D20146" w14:paraId="0FC53CB0" w14:textId="77777777" w:rsidTr="000A739A">
        <w:tc>
          <w:tcPr>
            <w:tcW w:w="14034" w:type="dxa"/>
            <w:gridSpan w:val="4"/>
            <w:shd w:val="clear" w:color="auto" w:fill="95B3D7" w:themeFill="accent1" w:themeFillTint="99"/>
            <w:tcMar>
              <w:top w:w="57" w:type="dxa"/>
              <w:bottom w:w="57" w:type="dxa"/>
            </w:tcMar>
          </w:tcPr>
          <w:p w14:paraId="7BB0980E" w14:textId="1373366B" w:rsidR="00D20146" w:rsidRPr="00D20146" w:rsidRDefault="00D20146" w:rsidP="00A06E6A">
            <w:pPr>
              <w:jc w:val="right"/>
              <w:rPr>
                <w:rFonts w:cs="Arial"/>
                <w:b/>
                <w:sz w:val="20"/>
                <w:szCs w:val="20"/>
              </w:rPr>
            </w:pPr>
            <w:r w:rsidRPr="000435FB">
              <w:rPr>
                <w:rFonts w:cs="Arial"/>
                <w:b/>
                <w:color w:val="FF0000"/>
                <w:sz w:val="20"/>
                <w:szCs w:val="20"/>
              </w:rPr>
              <w:t>Total budgeted cost</w:t>
            </w:r>
          </w:p>
        </w:tc>
        <w:tc>
          <w:tcPr>
            <w:tcW w:w="1097" w:type="dxa"/>
          </w:tcPr>
          <w:p w14:paraId="40C63AA9" w14:textId="126605A5" w:rsidR="00D20146" w:rsidRPr="00D20146" w:rsidRDefault="000435FB" w:rsidP="00E67C36">
            <w:pPr>
              <w:rPr>
                <w:rFonts w:cs="Arial"/>
                <w:b/>
                <w:sz w:val="20"/>
                <w:szCs w:val="20"/>
              </w:rPr>
            </w:pPr>
            <w:r w:rsidRPr="000435FB">
              <w:rPr>
                <w:rFonts w:cs="Arial"/>
                <w:b/>
                <w:color w:val="FF0000"/>
                <w:sz w:val="20"/>
                <w:szCs w:val="20"/>
              </w:rPr>
              <w:t>£4,200</w:t>
            </w:r>
          </w:p>
        </w:tc>
      </w:tr>
      <w:tr w:rsidR="000435FB" w:rsidRPr="00D20146" w14:paraId="6A28064C" w14:textId="77777777" w:rsidTr="000A739A">
        <w:tc>
          <w:tcPr>
            <w:tcW w:w="14034" w:type="dxa"/>
            <w:gridSpan w:val="4"/>
            <w:shd w:val="clear" w:color="auto" w:fill="95B3D7" w:themeFill="accent1" w:themeFillTint="99"/>
            <w:tcMar>
              <w:top w:w="57" w:type="dxa"/>
              <w:bottom w:w="57" w:type="dxa"/>
            </w:tcMar>
          </w:tcPr>
          <w:p w14:paraId="11728132" w14:textId="62BB7FF7" w:rsidR="000435FB" w:rsidRPr="000435FB" w:rsidRDefault="000435FB" w:rsidP="00A06E6A">
            <w:pPr>
              <w:jc w:val="right"/>
              <w:rPr>
                <w:rFonts w:cs="Arial"/>
                <w:b/>
                <w:color w:val="FF0000"/>
                <w:sz w:val="20"/>
                <w:szCs w:val="20"/>
              </w:rPr>
            </w:pPr>
            <w:r>
              <w:rPr>
                <w:rFonts w:cs="Arial"/>
                <w:b/>
                <w:color w:val="FF0000"/>
                <w:sz w:val="20"/>
                <w:szCs w:val="20"/>
              </w:rPr>
              <w:t xml:space="preserve">Total cost of all interventions and materials </w:t>
            </w:r>
          </w:p>
        </w:tc>
        <w:tc>
          <w:tcPr>
            <w:tcW w:w="1097" w:type="dxa"/>
          </w:tcPr>
          <w:p w14:paraId="70D30307" w14:textId="0B49F265" w:rsidR="000435FB" w:rsidRDefault="000435FB" w:rsidP="00E67C36">
            <w:pPr>
              <w:rPr>
                <w:rFonts w:cs="Arial"/>
                <w:b/>
                <w:sz w:val="20"/>
                <w:szCs w:val="20"/>
              </w:rPr>
            </w:pPr>
            <w:r>
              <w:rPr>
                <w:rFonts w:cs="Arial"/>
                <w:b/>
                <w:sz w:val="20"/>
                <w:szCs w:val="20"/>
              </w:rPr>
              <w:t>12,779</w:t>
            </w:r>
          </w:p>
        </w:tc>
      </w:tr>
      <w:tr w:rsidR="0046557F" w:rsidRPr="00D20146" w14:paraId="3851A2B5" w14:textId="77777777" w:rsidTr="000A739A">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Mar>
              <w:top w:w="57" w:type="dxa"/>
              <w:bottom w:w="57" w:type="dxa"/>
            </w:tcMar>
          </w:tcPr>
          <w:p w14:paraId="5FE1402E" w14:textId="6E43472F" w:rsidR="0046557F" w:rsidRPr="00D20146" w:rsidRDefault="0046557F" w:rsidP="00A06E6A">
            <w:pPr>
              <w:jc w:val="right"/>
              <w:rPr>
                <w:rFonts w:cs="Arial"/>
                <w:b/>
                <w:sz w:val="20"/>
                <w:szCs w:val="20"/>
              </w:rPr>
            </w:pPr>
            <w:r>
              <w:rPr>
                <w:rFonts w:cs="Arial"/>
                <w:b/>
                <w:sz w:val="20"/>
                <w:szCs w:val="20"/>
              </w:rPr>
              <w:t>Cost paid through Covid Catch-Up</w:t>
            </w:r>
          </w:p>
        </w:tc>
        <w:tc>
          <w:tcPr>
            <w:tcW w:w="1097" w:type="dxa"/>
            <w:tcBorders>
              <w:top w:val="single" w:sz="12" w:space="0" w:color="auto"/>
              <w:left w:val="single" w:sz="12" w:space="0" w:color="auto"/>
              <w:bottom w:val="single" w:sz="12" w:space="0" w:color="auto"/>
              <w:right w:val="single" w:sz="12" w:space="0" w:color="auto"/>
            </w:tcBorders>
          </w:tcPr>
          <w:p w14:paraId="5F681DF1" w14:textId="77A922AB" w:rsidR="0046557F" w:rsidRPr="00CB48D9" w:rsidRDefault="000435FB" w:rsidP="00E67C36">
            <w:pPr>
              <w:rPr>
                <w:rFonts w:cs="Arial"/>
                <w:b/>
                <w:color w:val="FF0000"/>
                <w:sz w:val="20"/>
                <w:szCs w:val="20"/>
              </w:rPr>
            </w:pPr>
            <w:r>
              <w:rPr>
                <w:rFonts w:cs="Arial"/>
                <w:b/>
                <w:color w:val="FF0000"/>
                <w:sz w:val="20"/>
                <w:szCs w:val="20"/>
              </w:rPr>
              <w:t>£12,779</w:t>
            </w:r>
          </w:p>
        </w:tc>
      </w:tr>
      <w:tr w:rsidR="0046557F" w:rsidRPr="00D20146" w14:paraId="0A04F4BC" w14:textId="77777777" w:rsidTr="000A739A">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Mar>
              <w:top w:w="57" w:type="dxa"/>
              <w:bottom w:w="57" w:type="dxa"/>
            </w:tcMar>
          </w:tcPr>
          <w:p w14:paraId="05065A6D" w14:textId="01020395" w:rsidR="0046557F" w:rsidRPr="00D20146" w:rsidRDefault="0046557F" w:rsidP="00A06E6A">
            <w:pPr>
              <w:jc w:val="right"/>
              <w:rPr>
                <w:rFonts w:cs="Arial"/>
                <w:b/>
                <w:sz w:val="20"/>
                <w:szCs w:val="20"/>
              </w:rPr>
            </w:pPr>
            <w:r>
              <w:rPr>
                <w:rFonts w:cs="Arial"/>
                <w:b/>
                <w:sz w:val="20"/>
                <w:szCs w:val="20"/>
              </w:rPr>
              <w:t>Cost paid through charitable donations</w:t>
            </w:r>
          </w:p>
        </w:tc>
        <w:tc>
          <w:tcPr>
            <w:tcW w:w="1097" w:type="dxa"/>
            <w:tcBorders>
              <w:top w:val="single" w:sz="12" w:space="0" w:color="auto"/>
              <w:left w:val="single" w:sz="12" w:space="0" w:color="auto"/>
              <w:bottom w:val="single" w:sz="12" w:space="0" w:color="auto"/>
              <w:right w:val="single" w:sz="12" w:space="0" w:color="auto"/>
            </w:tcBorders>
          </w:tcPr>
          <w:p w14:paraId="5FC7AB56" w14:textId="775B60D9" w:rsidR="0046557F" w:rsidRPr="00CB48D9" w:rsidRDefault="000435FB" w:rsidP="00E67C36">
            <w:pPr>
              <w:rPr>
                <w:rFonts w:cs="Arial"/>
                <w:b/>
                <w:color w:val="FF0000"/>
                <w:sz w:val="20"/>
                <w:szCs w:val="20"/>
              </w:rPr>
            </w:pPr>
            <w:r>
              <w:rPr>
                <w:rFonts w:cs="Arial"/>
                <w:b/>
                <w:color w:val="FF0000"/>
                <w:sz w:val="20"/>
                <w:szCs w:val="20"/>
              </w:rPr>
              <w:t>£0</w:t>
            </w:r>
          </w:p>
        </w:tc>
      </w:tr>
      <w:tr w:rsidR="0046557F" w:rsidRPr="00D20146" w14:paraId="08B9F09A" w14:textId="77777777" w:rsidTr="000A739A">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Mar>
              <w:top w:w="57" w:type="dxa"/>
              <w:bottom w:w="57" w:type="dxa"/>
            </w:tcMar>
          </w:tcPr>
          <w:p w14:paraId="729802DE" w14:textId="6AE81790" w:rsidR="0046557F" w:rsidRPr="00D20146" w:rsidRDefault="0046557F" w:rsidP="00A06E6A">
            <w:pPr>
              <w:jc w:val="right"/>
              <w:rPr>
                <w:rFonts w:cs="Arial"/>
                <w:b/>
                <w:sz w:val="20"/>
                <w:szCs w:val="20"/>
              </w:rPr>
            </w:pPr>
            <w:r>
              <w:rPr>
                <w:rFonts w:cs="Arial"/>
                <w:b/>
                <w:sz w:val="20"/>
                <w:szCs w:val="20"/>
              </w:rPr>
              <w:t>Cost paid through school budget</w:t>
            </w:r>
          </w:p>
        </w:tc>
        <w:tc>
          <w:tcPr>
            <w:tcW w:w="1097" w:type="dxa"/>
            <w:tcBorders>
              <w:top w:val="single" w:sz="12" w:space="0" w:color="auto"/>
              <w:left w:val="single" w:sz="12" w:space="0" w:color="auto"/>
              <w:bottom w:val="single" w:sz="12" w:space="0" w:color="auto"/>
              <w:right w:val="single" w:sz="12" w:space="0" w:color="auto"/>
            </w:tcBorders>
          </w:tcPr>
          <w:p w14:paraId="4CB2F6FC" w14:textId="61E7096B" w:rsidR="0046557F" w:rsidRPr="00CB48D9" w:rsidRDefault="000435FB" w:rsidP="00E67C36">
            <w:pPr>
              <w:rPr>
                <w:rFonts w:cs="Arial"/>
                <w:b/>
                <w:color w:val="FF0000"/>
                <w:sz w:val="20"/>
                <w:szCs w:val="20"/>
              </w:rPr>
            </w:pPr>
            <w:r>
              <w:rPr>
                <w:rFonts w:cs="Arial"/>
                <w:b/>
                <w:color w:val="FF0000"/>
                <w:sz w:val="20"/>
                <w:szCs w:val="20"/>
              </w:rPr>
              <w:t>£0</w:t>
            </w:r>
          </w:p>
        </w:tc>
      </w:tr>
      <w:tr w:rsidR="00640E1E" w:rsidRPr="00D20146" w14:paraId="396B335D" w14:textId="77777777" w:rsidTr="000A739A">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Mar>
              <w:top w:w="57" w:type="dxa"/>
              <w:bottom w:w="57" w:type="dxa"/>
            </w:tcMar>
          </w:tcPr>
          <w:p w14:paraId="38A8D81A" w14:textId="1BF7A952" w:rsidR="00640E1E" w:rsidRPr="00572901" w:rsidRDefault="000435FB" w:rsidP="00640E1E">
            <w:pPr>
              <w:jc w:val="right"/>
              <w:rPr>
                <w:rFonts w:cs="Arial"/>
                <w:b/>
                <w:sz w:val="20"/>
                <w:szCs w:val="20"/>
              </w:rPr>
            </w:pPr>
            <w:r>
              <w:rPr>
                <w:rFonts w:cs="Arial"/>
                <w:b/>
                <w:sz w:val="20"/>
                <w:szCs w:val="20"/>
              </w:rPr>
              <w:t>Amount carried forward to Autumn Term 21</w:t>
            </w:r>
          </w:p>
        </w:tc>
        <w:tc>
          <w:tcPr>
            <w:tcW w:w="1097"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40773CFB" w14:textId="5BA9A41F" w:rsidR="00640E1E" w:rsidRPr="0046557F" w:rsidRDefault="000435FB" w:rsidP="00640E1E">
            <w:pPr>
              <w:rPr>
                <w:rFonts w:cs="Arial"/>
                <w:b/>
                <w:sz w:val="20"/>
                <w:szCs w:val="20"/>
              </w:rPr>
            </w:pPr>
            <w:r>
              <w:rPr>
                <w:rFonts w:cs="Arial"/>
                <w:b/>
                <w:sz w:val="20"/>
                <w:szCs w:val="20"/>
              </w:rPr>
              <w:t>£2,994</w:t>
            </w:r>
          </w:p>
        </w:tc>
      </w:tr>
    </w:tbl>
    <w:p w14:paraId="72C1C3C3" w14:textId="28F39F43" w:rsidR="00D20146" w:rsidRPr="00A1508C" w:rsidRDefault="00A1508C" w:rsidP="00A1508C">
      <w:pPr>
        <w:pStyle w:val="ListParagraph"/>
        <w:numPr>
          <w:ilvl w:val="0"/>
          <w:numId w:val="47"/>
        </w:numPr>
        <w:rPr>
          <w:color w:val="FF0000"/>
        </w:rPr>
      </w:pPr>
      <w:r w:rsidRPr="00A1508C">
        <w:rPr>
          <w:color w:val="FF0000"/>
        </w:rPr>
        <w:t>Please see separate Impact study to show the effectiveness of this spend on pupil outcomes.</w:t>
      </w:r>
    </w:p>
    <w:sectPr w:rsidR="00D20146" w:rsidRPr="00A1508C" w:rsidSect="003672CE">
      <w:pgSz w:w="16838" w:h="11906" w:orient="landscape"/>
      <w:pgMar w:top="426"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02FA" w14:textId="77777777" w:rsidR="00D925C5" w:rsidRDefault="00D925C5" w:rsidP="00CD68B1">
      <w:r>
        <w:separator/>
      </w:r>
    </w:p>
  </w:endnote>
  <w:endnote w:type="continuationSeparator" w:id="0">
    <w:p w14:paraId="2C1DA6F0" w14:textId="77777777" w:rsidR="00D925C5" w:rsidRDefault="00D925C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D2D16" w14:textId="77777777" w:rsidR="00D925C5" w:rsidRDefault="00D925C5" w:rsidP="00CD68B1">
      <w:r>
        <w:separator/>
      </w:r>
    </w:p>
  </w:footnote>
  <w:footnote w:type="continuationSeparator" w:id="0">
    <w:p w14:paraId="4A6AFE57" w14:textId="77777777" w:rsidR="00D925C5" w:rsidRDefault="00D925C5"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64"/>
    <w:multiLevelType w:val="hybridMultilevel"/>
    <w:tmpl w:val="A2C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8489E"/>
    <w:multiLevelType w:val="hybridMultilevel"/>
    <w:tmpl w:val="3D3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54F4D"/>
    <w:multiLevelType w:val="hybridMultilevel"/>
    <w:tmpl w:val="1DC8CD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B4D46B4"/>
    <w:multiLevelType w:val="hybridMultilevel"/>
    <w:tmpl w:val="DA4087CE"/>
    <w:lvl w:ilvl="0" w:tplc="00F4C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01AB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0BD7738F"/>
    <w:multiLevelType w:val="hybridMultilevel"/>
    <w:tmpl w:val="0212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095735"/>
    <w:multiLevelType w:val="hybridMultilevel"/>
    <w:tmpl w:val="9C3E6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B50BC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9C1210"/>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E93AEF"/>
    <w:multiLevelType w:val="hybridMultilevel"/>
    <w:tmpl w:val="5FEA2ED6"/>
    <w:lvl w:ilvl="0" w:tplc="2B36199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2D315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2F92210D"/>
    <w:multiLevelType w:val="hybridMultilevel"/>
    <w:tmpl w:val="96A49A88"/>
    <w:lvl w:ilvl="0" w:tplc="1338C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5BB0198"/>
    <w:multiLevelType w:val="hybridMultilevel"/>
    <w:tmpl w:val="AB58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71272D"/>
    <w:multiLevelType w:val="hybridMultilevel"/>
    <w:tmpl w:val="D388899C"/>
    <w:lvl w:ilvl="0" w:tplc="06C64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3C402153"/>
    <w:multiLevelType w:val="hybridMultilevel"/>
    <w:tmpl w:val="322C4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4F1379"/>
    <w:multiLevelType w:val="hybridMultilevel"/>
    <w:tmpl w:val="0772FBF2"/>
    <w:lvl w:ilvl="0" w:tplc="0809000B">
      <w:start w:val="1"/>
      <w:numFmt w:val="bullet"/>
      <w:lvlText w:val=""/>
      <w:lvlJc w:val="left"/>
      <w:pPr>
        <w:ind w:left="720" w:hanging="360"/>
      </w:pPr>
      <w:rPr>
        <w:rFonts w:ascii="Wingdings" w:hAnsi="Wingdings" w:hint="default"/>
      </w:rPr>
    </w:lvl>
    <w:lvl w:ilvl="1" w:tplc="2CD2D2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nsid w:val="48BA44D2"/>
    <w:multiLevelType w:val="hybridMultilevel"/>
    <w:tmpl w:val="DD2C6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C5300C"/>
    <w:multiLevelType w:val="hybridMultilevel"/>
    <w:tmpl w:val="B8AE95E6"/>
    <w:lvl w:ilvl="0" w:tplc="13760B2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BA22E1"/>
    <w:multiLevelType w:val="hybridMultilevel"/>
    <w:tmpl w:val="011E1610"/>
    <w:lvl w:ilvl="0" w:tplc="A45E46AE">
      <w:start w:val="1"/>
      <w:numFmt w:val="decimal"/>
      <w:lvlText w:val="%1."/>
      <w:lvlJc w:val="left"/>
      <w:pPr>
        <w:ind w:left="1125" w:hanging="360"/>
      </w:pPr>
      <w:rPr>
        <w:rFonts w:asciiTheme="minorHAnsi" w:hAnsiTheme="minorHAnsi" w:cstheme="minorBidi"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3013B0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2"/>
  </w:num>
  <w:num w:numId="3">
    <w:abstractNumId w:val="30"/>
  </w:num>
  <w:num w:numId="4">
    <w:abstractNumId w:val="2"/>
  </w:num>
  <w:num w:numId="5">
    <w:abstractNumId w:val="37"/>
  </w:num>
  <w:num w:numId="6">
    <w:abstractNumId w:val="19"/>
  </w:num>
  <w:num w:numId="7">
    <w:abstractNumId w:val="16"/>
  </w:num>
  <w:num w:numId="8">
    <w:abstractNumId w:val="17"/>
  </w:num>
  <w:num w:numId="9">
    <w:abstractNumId w:val="46"/>
  </w:num>
  <w:num w:numId="10">
    <w:abstractNumId w:val="38"/>
  </w:num>
  <w:num w:numId="11">
    <w:abstractNumId w:val="29"/>
  </w:num>
  <w:num w:numId="12">
    <w:abstractNumId w:val="14"/>
  </w:num>
  <w:num w:numId="13">
    <w:abstractNumId w:val="28"/>
  </w:num>
  <w:num w:numId="14">
    <w:abstractNumId w:val="10"/>
  </w:num>
  <w:num w:numId="15">
    <w:abstractNumId w:val="44"/>
  </w:num>
  <w:num w:numId="16">
    <w:abstractNumId w:val="43"/>
  </w:num>
  <w:num w:numId="17">
    <w:abstractNumId w:val="26"/>
  </w:num>
  <w:num w:numId="18">
    <w:abstractNumId w:val="8"/>
  </w:num>
  <w:num w:numId="19">
    <w:abstractNumId w:val="36"/>
  </w:num>
  <w:num w:numId="20">
    <w:abstractNumId w:val="11"/>
  </w:num>
  <w:num w:numId="21">
    <w:abstractNumId w:val="41"/>
  </w:num>
  <w:num w:numId="22">
    <w:abstractNumId w:val="45"/>
  </w:num>
  <w:num w:numId="23">
    <w:abstractNumId w:val="13"/>
  </w:num>
  <w:num w:numId="24">
    <w:abstractNumId w:val="23"/>
  </w:num>
  <w:num w:numId="25">
    <w:abstractNumId w:val="33"/>
  </w:num>
  <w:num w:numId="26">
    <w:abstractNumId w:val="40"/>
  </w:num>
  <w:num w:numId="27">
    <w:abstractNumId w:val="12"/>
  </w:num>
  <w:num w:numId="28">
    <w:abstractNumId w:val="5"/>
  </w:num>
  <w:num w:numId="29">
    <w:abstractNumId w:val="21"/>
  </w:num>
  <w:num w:numId="30">
    <w:abstractNumId w:val="42"/>
  </w:num>
  <w:num w:numId="31">
    <w:abstractNumId w:val="35"/>
  </w:num>
  <w:num w:numId="32">
    <w:abstractNumId w:val="39"/>
  </w:num>
  <w:num w:numId="33">
    <w:abstractNumId w:val="18"/>
  </w:num>
  <w:num w:numId="34">
    <w:abstractNumId w:val="15"/>
  </w:num>
  <w:num w:numId="35">
    <w:abstractNumId w:val="0"/>
  </w:num>
  <w:num w:numId="36">
    <w:abstractNumId w:val="25"/>
  </w:num>
  <w:num w:numId="37">
    <w:abstractNumId w:val="34"/>
  </w:num>
  <w:num w:numId="38">
    <w:abstractNumId w:val="7"/>
  </w:num>
  <w:num w:numId="39">
    <w:abstractNumId w:val="22"/>
  </w:num>
  <w:num w:numId="40">
    <w:abstractNumId w:val="31"/>
  </w:num>
  <w:num w:numId="41">
    <w:abstractNumId w:val="27"/>
  </w:num>
  <w:num w:numId="42">
    <w:abstractNumId w:val="4"/>
  </w:num>
  <w:num w:numId="43">
    <w:abstractNumId w:val="20"/>
  </w:num>
  <w:num w:numId="44">
    <w:abstractNumId w:val="1"/>
  </w:num>
  <w:num w:numId="45">
    <w:abstractNumId w:val="24"/>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24AF"/>
    <w:rsid w:val="00004FB6"/>
    <w:rsid w:val="000079DF"/>
    <w:rsid w:val="00011561"/>
    <w:rsid w:val="000315F8"/>
    <w:rsid w:val="00034419"/>
    <w:rsid w:val="000435FB"/>
    <w:rsid w:val="0004399F"/>
    <w:rsid w:val="0004731E"/>
    <w:rsid w:val="000473C9"/>
    <w:rsid w:val="000501F0"/>
    <w:rsid w:val="00052324"/>
    <w:rsid w:val="000557F9"/>
    <w:rsid w:val="000562ED"/>
    <w:rsid w:val="0006219B"/>
    <w:rsid w:val="00063367"/>
    <w:rsid w:val="00074D9F"/>
    <w:rsid w:val="00090045"/>
    <w:rsid w:val="000A25FC"/>
    <w:rsid w:val="000A739A"/>
    <w:rsid w:val="000B1B48"/>
    <w:rsid w:val="000B25ED"/>
    <w:rsid w:val="000B5413"/>
    <w:rsid w:val="000C37C2"/>
    <w:rsid w:val="000C4CF8"/>
    <w:rsid w:val="000D0B47"/>
    <w:rsid w:val="000D480D"/>
    <w:rsid w:val="000D7ED1"/>
    <w:rsid w:val="000E4243"/>
    <w:rsid w:val="000F4801"/>
    <w:rsid w:val="001022B3"/>
    <w:rsid w:val="00110055"/>
    <w:rsid w:val="001137CF"/>
    <w:rsid w:val="00117186"/>
    <w:rsid w:val="00121D72"/>
    <w:rsid w:val="00125340"/>
    <w:rsid w:val="00125BA7"/>
    <w:rsid w:val="00131CA9"/>
    <w:rsid w:val="00136A98"/>
    <w:rsid w:val="00144577"/>
    <w:rsid w:val="001457B2"/>
    <w:rsid w:val="00145981"/>
    <w:rsid w:val="00145CC4"/>
    <w:rsid w:val="0018451B"/>
    <w:rsid w:val="001849D6"/>
    <w:rsid w:val="001951DB"/>
    <w:rsid w:val="00196A87"/>
    <w:rsid w:val="001B3472"/>
    <w:rsid w:val="001B794A"/>
    <w:rsid w:val="001C686D"/>
    <w:rsid w:val="001D394F"/>
    <w:rsid w:val="001E34CF"/>
    <w:rsid w:val="001E7B91"/>
    <w:rsid w:val="00207FCB"/>
    <w:rsid w:val="0021629B"/>
    <w:rsid w:val="00232CF5"/>
    <w:rsid w:val="0024053C"/>
    <w:rsid w:val="00240F98"/>
    <w:rsid w:val="00242759"/>
    <w:rsid w:val="00254A66"/>
    <w:rsid w:val="002557B5"/>
    <w:rsid w:val="00257811"/>
    <w:rsid w:val="00262114"/>
    <w:rsid w:val="002622B6"/>
    <w:rsid w:val="00267F85"/>
    <w:rsid w:val="00281156"/>
    <w:rsid w:val="002822CE"/>
    <w:rsid w:val="002856C3"/>
    <w:rsid w:val="00286D03"/>
    <w:rsid w:val="002954A6"/>
    <w:rsid w:val="002962F2"/>
    <w:rsid w:val="002969D3"/>
    <w:rsid w:val="002B3394"/>
    <w:rsid w:val="002D0A33"/>
    <w:rsid w:val="002D22A0"/>
    <w:rsid w:val="002D271B"/>
    <w:rsid w:val="002E15F8"/>
    <w:rsid w:val="002E686F"/>
    <w:rsid w:val="002E7E2E"/>
    <w:rsid w:val="002F6FB5"/>
    <w:rsid w:val="002F72B3"/>
    <w:rsid w:val="00310600"/>
    <w:rsid w:val="00316D5E"/>
    <w:rsid w:val="00320C3A"/>
    <w:rsid w:val="00330271"/>
    <w:rsid w:val="003340E3"/>
    <w:rsid w:val="00337056"/>
    <w:rsid w:val="0034144A"/>
    <w:rsid w:val="003414EA"/>
    <w:rsid w:val="00351952"/>
    <w:rsid w:val="00366499"/>
    <w:rsid w:val="003672CE"/>
    <w:rsid w:val="00380587"/>
    <w:rsid w:val="003822C1"/>
    <w:rsid w:val="00390402"/>
    <w:rsid w:val="00391F83"/>
    <w:rsid w:val="003957BD"/>
    <w:rsid w:val="00395803"/>
    <w:rsid w:val="003961A3"/>
    <w:rsid w:val="003A3B17"/>
    <w:rsid w:val="003B5C5D"/>
    <w:rsid w:val="003B6371"/>
    <w:rsid w:val="003C4484"/>
    <w:rsid w:val="003C61F8"/>
    <w:rsid w:val="003C79F6"/>
    <w:rsid w:val="003D2143"/>
    <w:rsid w:val="003D4B7A"/>
    <w:rsid w:val="003E5A31"/>
    <w:rsid w:val="003F7BE2"/>
    <w:rsid w:val="004029AD"/>
    <w:rsid w:val="00402EED"/>
    <w:rsid w:val="004059E9"/>
    <w:rsid w:val="004107D2"/>
    <w:rsid w:val="00416ABB"/>
    <w:rsid w:val="00421AB6"/>
    <w:rsid w:val="00423264"/>
    <w:rsid w:val="00427C5D"/>
    <w:rsid w:val="00435936"/>
    <w:rsid w:val="00443531"/>
    <w:rsid w:val="00443E49"/>
    <w:rsid w:val="00454FAD"/>
    <w:rsid w:val="00456ABA"/>
    <w:rsid w:val="004642B2"/>
    <w:rsid w:val="004642BC"/>
    <w:rsid w:val="0046557F"/>
    <w:rsid w:val="004667CF"/>
    <w:rsid w:val="004667DB"/>
    <w:rsid w:val="00481041"/>
    <w:rsid w:val="0049188F"/>
    <w:rsid w:val="00492683"/>
    <w:rsid w:val="00496D7D"/>
    <w:rsid w:val="004A140E"/>
    <w:rsid w:val="004A6325"/>
    <w:rsid w:val="004B0F81"/>
    <w:rsid w:val="004B3C35"/>
    <w:rsid w:val="004B6607"/>
    <w:rsid w:val="004C5467"/>
    <w:rsid w:val="004D053F"/>
    <w:rsid w:val="004D348C"/>
    <w:rsid w:val="004D3FC1"/>
    <w:rsid w:val="004E040A"/>
    <w:rsid w:val="004E5349"/>
    <w:rsid w:val="004E5B85"/>
    <w:rsid w:val="004F36D5"/>
    <w:rsid w:val="004F6468"/>
    <w:rsid w:val="00501685"/>
    <w:rsid w:val="00503380"/>
    <w:rsid w:val="00503672"/>
    <w:rsid w:val="00514B13"/>
    <w:rsid w:val="00530007"/>
    <w:rsid w:val="00540101"/>
    <w:rsid w:val="00540319"/>
    <w:rsid w:val="00540D02"/>
    <w:rsid w:val="00541F7B"/>
    <w:rsid w:val="0055247D"/>
    <w:rsid w:val="0055659E"/>
    <w:rsid w:val="00557E19"/>
    <w:rsid w:val="00557E9F"/>
    <w:rsid w:val="005608F2"/>
    <w:rsid w:val="00564170"/>
    <w:rsid w:val="0056652E"/>
    <w:rsid w:val="005710AB"/>
    <w:rsid w:val="00572901"/>
    <w:rsid w:val="00580ADE"/>
    <w:rsid w:val="005832BE"/>
    <w:rsid w:val="0058583E"/>
    <w:rsid w:val="00590D17"/>
    <w:rsid w:val="00597346"/>
    <w:rsid w:val="005A04D4"/>
    <w:rsid w:val="005A25B5"/>
    <w:rsid w:val="005A2E33"/>
    <w:rsid w:val="005A3451"/>
    <w:rsid w:val="005D06F3"/>
    <w:rsid w:val="005E2CF9"/>
    <w:rsid w:val="005E34EA"/>
    <w:rsid w:val="005E54F3"/>
    <w:rsid w:val="005E6253"/>
    <w:rsid w:val="005F2472"/>
    <w:rsid w:val="00601130"/>
    <w:rsid w:val="00605C1E"/>
    <w:rsid w:val="00606BBE"/>
    <w:rsid w:val="00611495"/>
    <w:rsid w:val="0061262A"/>
    <w:rsid w:val="00614DBF"/>
    <w:rsid w:val="00620176"/>
    <w:rsid w:val="00622E92"/>
    <w:rsid w:val="00626094"/>
    <w:rsid w:val="006260E3"/>
    <w:rsid w:val="00626887"/>
    <w:rsid w:val="00630044"/>
    <w:rsid w:val="00630BE0"/>
    <w:rsid w:val="00636313"/>
    <w:rsid w:val="00636F61"/>
    <w:rsid w:val="00640E1E"/>
    <w:rsid w:val="00644124"/>
    <w:rsid w:val="006526C5"/>
    <w:rsid w:val="00663FB6"/>
    <w:rsid w:val="00683A3C"/>
    <w:rsid w:val="0069601D"/>
    <w:rsid w:val="0069612A"/>
    <w:rsid w:val="006A0116"/>
    <w:rsid w:val="006A3DF2"/>
    <w:rsid w:val="006B2CD8"/>
    <w:rsid w:val="006B358C"/>
    <w:rsid w:val="006C195E"/>
    <w:rsid w:val="006C2BB8"/>
    <w:rsid w:val="006C45CF"/>
    <w:rsid w:val="006C5CF1"/>
    <w:rsid w:val="006C7C85"/>
    <w:rsid w:val="006D447D"/>
    <w:rsid w:val="006D5E63"/>
    <w:rsid w:val="006E43A9"/>
    <w:rsid w:val="006E6C0F"/>
    <w:rsid w:val="006F09D7"/>
    <w:rsid w:val="006F0B6A"/>
    <w:rsid w:val="006F2883"/>
    <w:rsid w:val="00700CA9"/>
    <w:rsid w:val="00700F53"/>
    <w:rsid w:val="007255E1"/>
    <w:rsid w:val="007335B7"/>
    <w:rsid w:val="00743BF3"/>
    <w:rsid w:val="00746605"/>
    <w:rsid w:val="007470A3"/>
    <w:rsid w:val="00753A6A"/>
    <w:rsid w:val="007560E3"/>
    <w:rsid w:val="00765EFB"/>
    <w:rsid w:val="00766387"/>
    <w:rsid w:val="00767E1D"/>
    <w:rsid w:val="0077725A"/>
    <w:rsid w:val="00797116"/>
    <w:rsid w:val="00797D48"/>
    <w:rsid w:val="007A2742"/>
    <w:rsid w:val="007A3819"/>
    <w:rsid w:val="007A674D"/>
    <w:rsid w:val="007B141B"/>
    <w:rsid w:val="007B228E"/>
    <w:rsid w:val="007B24BC"/>
    <w:rsid w:val="007B5B36"/>
    <w:rsid w:val="007C2B91"/>
    <w:rsid w:val="007C4F4A"/>
    <w:rsid w:val="007C749E"/>
    <w:rsid w:val="007D0BE9"/>
    <w:rsid w:val="007D59EE"/>
    <w:rsid w:val="007F0906"/>
    <w:rsid w:val="007F271A"/>
    <w:rsid w:val="007F3C16"/>
    <w:rsid w:val="00801210"/>
    <w:rsid w:val="00827203"/>
    <w:rsid w:val="00842830"/>
    <w:rsid w:val="0084389C"/>
    <w:rsid w:val="00845265"/>
    <w:rsid w:val="00850033"/>
    <w:rsid w:val="0085024F"/>
    <w:rsid w:val="00863790"/>
    <w:rsid w:val="00864593"/>
    <w:rsid w:val="008667C6"/>
    <w:rsid w:val="0088412D"/>
    <w:rsid w:val="008B27BE"/>
    <w:rsid w:val="008B63E1"/>
    <w:rsid w:val="008B7FE5"/>
    <w:rsid w:val="008C10E9"/>
    <w:rsid w:val="008D58CE"/>
    <w:rsid w:val="008E364E"/>
    <w:rsid w:val="008E42F2"/>
    <w:rsid w:val="008E64E9"/>
    <w:rsid w:val="008F0F73"/>
    <w:rsid w:val="008F39E9"/>
    <w:rsid w:val="008F69EC"/>
    <w:rsid w:val="008F6EE8"/>
    <w:rsid w:val="009021E8"/>
    <w:rsid w:val="009079EE"/>
    <w:rsid w:val="009135F8"/>
    <w:rsid w:val="00914D6D"/>
    <w:rsid w:val="00915380"/>
    <w:rsid w:val="00917D70"/>
    <w:rsid w:val="009242F1"/>
    <w:rsid w:val="00924B59"/>
    <w:rsid w:val="009671C2"/>
    <w:rsid w:val="00972129"/>
    <w:rsid w:val="009829C0"/>
    <w:rsid w:val="00992C5E"/>
    <w:rsid w:val="009B2DE4"/>
    <w:rsid w:val="009B5AD6"/>
    <w:rsid w:val="009C02A4"/>
    <w:rsid w:val="009C31CE"/>
    <w:rsid w:val="009E7A9D"/>
    <w:rsid w:val="009F0C84"/>
    <w:rsid w:val="009F1341"/>
    <w:rsid w:val="009F4378"/>
    <w:rsid w:val="009F480D"/>
    <w:rsid w:val="009F6796"/>
    <w:rsid w:val="00A00036"/>
    <w:rsid w:val="00A06E6A"/>
    <w:rsid w:val="00A13FBB"/>
    <w:rsid w:val="00A1508C"/>
    <w:rsid w:val="00A202D5"/>
    <w:rsid w:val="00A24C51"/>
    <w:rsid w:val="00A32773"/>
    <w:rsid w:val="00A33F73"/>
    <w:rsid w:val="00A355F3"/>
    <w:rsid w:val="00A37195"/>
    <w:rsid w:val="00A37D2D"/>
    <w:rsid w:val="00A417E1"/>
    <w:rsid w:val="00A439AF"/>
    <w:rsid w:val="00A47D72"/>
    <w:rsid w:val="00A53B99"/>
    <w:rsid w:val="00A57107"/>
    <w:rsid w:val="00A60ECF"/>
    <w:rsid w:val="00A6273A"/>
    <w:rsid w:val="00A6366C"/>
    <w:rsid w:val="00A77153"/>
    <w:rsid w:val="00A779A1"/>
    <w:rsid w:val="00A807FB"/>
    <w:rsid w:val="00A8709B"/>
    <w:rsid w:val="00A916BC"/>
    <w:rsid w:val="00AA1D02"/>
    <w:rsid w:val="00AA6486"/>
    <w:rsid w:val="00AA7656"/>
    <w:rsid w:val="00AB2C0F"/>
    <w:rsid w:val="00AB5B2A"/>
    <w:rsid w:val="00AB6C59"/>
    <w:rsid w:val="00AC263D"/>
    <w:rsid w:val="00AD30DE"/>
    <w:rsid w:val="00AD3116"/>
    <w:rsid w:val="00AE66C2"/>
    <w:rsid w:val="00AE77EC"/>
    <w:rsid w:val="00AE78F2"/>
    <w:rsid w:val="00AF1662"/>
    <w:rsid w:val="00AF1BF8"/>
    <w:rsid w:val="00AF45B9"/>
    <w:rsid w:val="00AF600C"/>
    <w:rsid w:val="00B00374"/>
    <w:rsid w:val="00B01C9A"/>
    <w:rsid w:val="00B13714"/>
    <w:rsid w:val="00B17B33"/>
    <w:rsid w:val="00B3157A"/>
    <w:rsid w:val="00B31AA4"/>
    <w:rsid w:val="00B3409B"/>
    <w:rsid w:val="00B369C7"/>
    <w:rsid w:val="00B36BB9"/>
    <w:rsid w:val="00B4310E"/>
    <w:rsid w:val="00B44A21"/>
    <w:rsid w:val="00B44E17"/>
    <w:rsid w:val="00B44EF3"/>
    <w:rsid w:val="00B55BC5"/>
    <w:rsid w:val="00B57B2C"/>
    <w:rsid w:val="00B60E7C"/>
    <w:rsid w:val="00B63631"/>
    <w:rsid w:val="00B668B6"/>
    <w:rsid w:val="00B7195B"/>
    <w:rsid w:val="00B72939"/>
    <w:rsid w:val="00B75574"/>
    <w:rsid w:val="00B80272"/>
    <w:rsid w:val="00B8629C"/>
    <w:rsid w:val="00B9382E"/>
    <w:rsid w:val="00BA3C3E"/>
    <w:rsid w:val="00BA6B8D"/>
    <w:rsid w:val="00BC54E1"/>
    <w:rsid w:val="00BC5536"/>
    <w:rsid w:val="00BC7733"/>
    <w:rsid w:val="00BE09E2"/>
    <w:rsid w:val="00BE3670"/>
    <w:rsid w:val="00BE5BCA"/>
    <w:rsid w:val="00BF48D0"/>
    <w:rsid w:val="00BF58B8"/>
    <w:rsid w:val="00C00F3C"/>
    <w:rsid w:val="00C04C4C"/>
    <w:rsid w:val="00C068B2"/>
    <w:rsid w:val="00C102E1"/>
    <w:rsid w:val="00C14FAE"/>
    <w:rsid w:val="00C20296"/>
    <w:rsid w:val="00C2169F"/>
    <w:rsid w:val="00C32D5C"/>
    <w:rsid w:val="00C33D25"/>
    <w:rsid w:val="00C34113"/>
    <w:rsid w:val="00C34E7D"/>
    <w:rsid w:val="00C35120"/>
    <w:rsid w:val="00C416E8"/>
    <w:rsid w:val="00C4623C"/>
    <w:rsid w:val="00C46793"/>
    <w:rsid w:val="00C66FB4"/>
    <w:rsid w:val="00C70B05"/>
    <w:rsid w:val="00C73995"/>
    <w:rsid w:val="00C77968"/>
    <w:rsid w:val="00C8030B"/>
    <w:rsid w:val="00CA1AF5"/>
    <w:rsid w:val="00CB48D9"/>
    <w:rsid w:val="00CB67A9"/>
    <w:rsid w:val="00CC56F6"/>
    <w:rsid w:val="00CC7FDD"/>
    <w:rsid w:val="00CD2230"/>
    <w:rsid w:val="00CD5529"/>
    <w:rsid w:val="00CD68B1"/>
    <w:rsid w:val="00CE1584"/>
    <w:rsid w:val="00CE3103"/>
    <w:rsid w:val="00CF02DE"/>
    <w:rsid w:val="00CF1B9B"/>
    <w:rsid w:val="00D022CA"/>
    <w:rsid w:val="00D11429"/>
    <w:rsid w:val="00D11A2D"/>
    <w:rsid w:val="00D13E3A"/>
    <w:rsid w:val="00D154D0"/>
    <w:rsid w:val="00D160C8"/>
    <w:rsid w:val="00D20146"/>
    <w:rsid w:val="00D309A5"/>
    <w:rsid w:val="00D31B66"/>
    <w:rsid w:val="00D32E62"/>
    <w:rsid w:val="00D35464"/>
    <w:rsid w:val="00D370F4"/>
    <w:rsid w:val="00D46E95"/>
    <w:rsid w:val="00D504EA"/>
    <w:rsid w:val="00D51B67"/>
    <w:rsid w:val="00D51EA2"/>
    <w:rsid w:val="00D82EF5"/>
    <w:rsid w:val="00D8330B"/>
    <w:rsid w:val="00D8454C"/>
    <w:rsid w:val="00D925C5"/>
    <w:rsid w:val="00D9429A"/>
    <w:rsid w:val="00DA157A"/>
    <w:rsid w:val="00DA30BD"/>
    <w:rsid w:val="00DA4126"/>
    <w:rsid w:val="00DB0C75"/>
    <w:rsid w:val="00DC3F30"/>
    <w:rsid w:val="00DD10BC"/>
    <w:rsid w:val="00DD11AE"/>
    <w:rsid w:val="00DD56CB"/>
    <w:rsid w:val="00DE21F2"/>
    <w:rsid w:val="00DE33BF"/>
    <w:rsid w:val="00DF621A"/>
    <w:rsid w:val="00DF76AB"/>
    <w:rsid w:val="00E036D4"/>
    <w:rsid w:val="00E04EE8"/>
    <w:rsid w:val="00E07218"/>
    <w:rsid w:val="00E106F9"/>
    <w:rsid w:val="00E20F63"/>
    <w:rsid w:val="00E24162"/>
    <w:rsid w:val="00E251CA"/>
    <w:rsid w:val="00E34A8F"/>
    <w:rsid w:val="00E354EA"/>
    <w:rsid w:val="00E35628"/>
    <w:rsid w:val="00E5066A"/>
    <w:rsid w:val="00E50E1E"/>
    <w:rsid w:val="00E57D15"/>
    <w:rsid w:val="00E662B7"/>
    <w:rsid w:val="00E6697B"/>
    <w:rsid w:val="00E67C36"/>
    <w:rsid w:val="00E70DA0"/>
    <w:rsid w:val="00E73DE8"/>
    <w:rsid w:val="00E76FF8"/>
    <w:rsid w:val="00E865E4"/>
    <w:rsid w:val="00E9043E"/>
    <w:rsid w:val="00E91969"/>
    <w:rsid w:val="00E953EB"/>
    <w:rsid w:val="00E9691E"/>
    <w:rsid w:val="00E96E48"/>
    <w:rsid w:val="00EA0AC0"/>
    <w:rsid w:val="00EB090F"/>
    <w:rsid w:val="00EB7216"/>
    <w:rsid w:val="00EC3B59"/>
    <w:rsid w:val="00EC579B"/>
    <w:rsid w:val="00ED0F8C"/>
    <w:rsid w:val="00EE3270"/>
    <w:rsid w:val="00EE4176"/>
    <w:rsid w:val="00EE4D95"/>
    <w:rsid w:val="00EE50D0"/>
    <w:rsid w:val="00EE5BF0"/>
    <w:rsid w:val="00EF016A"/>
    <w:rsid w:val="00EF2A09"/>
    <w:rsid w:val="00EF2C1C"/>
    <w:rsid w:val="00F04C68"/>
    <w:rsid w:val="00F118D2"/>
    <w:rsid w:val="00F148B0"/>
    <w:rsid w:val="00F25DF2"/>
    <w:rsid w:val="00F359FE"/>
    <w:rsid w:val="00F35AA2"/>
    <w:rsid w:val="00F36497"/>
    <w:rsid w:val="00F367C9"/>
    <w:rsid w:val="00F54E2A"/>
    <w:rsid w:val="00F55645"/>
    <w:rsid w:val="00F55DE6"/>
    <w:rsid w:val="00F61904"/>
    <w:rsid w:val="00F71231"/>
    <w:rsid w:val="00F835B6"/>
    <w:rsid w:val="00F84A60"/>
    <w:rsid w:val="00F84B19"/>
    <w:rsid w:val="00F85CBD"/>
    <w:rsid w:val="00F87EC9"/>
    <w:rsid w:val="00F93C25"/>
    <w:rsid w:val="00F9458B"/>
    <w:rsid w:val="00F970BA"/>
    <w:rsid w:val="00FB153F"/>
    <w:rsid w:val="00FB223A"/>
    <w:rsid w:val="00FC12C5"/>
    <w:rsid w:val="00FC6354"/>
    <w:rsid w:val="00FC63C4"/>
    <w:rsid w:val="00FC65CA"/>
    <w:rsid w:val="00FE62E4"/>
    <w:rsid w:val="00FF0BEF"/>
    <w:rsid w:val="00FF11DF"/>
    <w:rsid w:val="00FF3DF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7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8236">
      <w:bodyDiv w:val="1"/>
      <w:marLeft w:val="0"/>
      <w:marRight w:val="0"/>
      <w:marTop w:val="0"/>
      <w:marBottom w:val="0"/>
      <w:divBdr>
        <w:top w:val="none" w:sz="0" w:space="0" w:color="auto"/>
        <w:left w:val="none" w:sz="0" w:space="0" w:color="auto"/>
        <w:bottom w:val="none" w:sz="0" w:space="0" w:color="auto"/>
        <w:right w:val="none" w:sz="0" w:space="0" w:color="auto"/>
      </w:divBdr>
    </w:div>
    <w:div w:id="6363726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23971416">
      <w:bodyDiv w:val="1"/>
      <w:marLeft w:val="0"/>
      <w:marRight w:val="0"/>
      <w:marTop w:val="0"/>
      <w:marBottom w:val="0"/>
      <w:divBdr>
        <w:top w:val="none" w:sz="0" w:space="0" w:color="auto"/>
        <w:left w:val="none" w:sz="0" w:space="0" w:color="auto"/>
        <w:bottom w:val="none" w:sz="0" w:space="0" w:color="auto"/>
        <w:right w:val="none" w:sz="0" w:space="0" w:color="auto"/>
      </w:divBdr>
    </w:div>
    <w:div w:id="17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endowmentfoundation.org.uk/covid-19-resources/covid-19-support-guide-for-school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2E216F25EA04BBEF0EEB63E5F0CAE" ma:contentTypeVersion="8" ma:contentTypeDescription="Create a new document." ma:contentTypeScope="" ma:versionID="4ffbf52ca02a0ba5f827bc0ab541b3c7">
  <xsd:schema xmlns:xsd="http://www.w3.org/2001/XMLSchema" xmlns:xs="http://www.w3.org/2001/XMLSchema" xmlns:p="http://schemas.microsoft.com/office/2006/metadata/properties" xmlns:ns3="aa777f84-5003-4914-8779-ca13dfc2e487" targetNamespace="http://schemas.microsoft.com/office/2006/metadata/properties" ma:root="true" ma:fieldsID="d017ae8c08b036ecaa831b035fc5213e" ns3:_="">
    <xsd:import namespace="aa777f84-5003-4914-8779-ca13dfc2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f84-5003-4914-8779-ca13dfc2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a777f84-5003-4914-8779-ca13dfc2e487"/>
    <ds:schemaRef ds:uri="http://purl.org/dc/term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F87BA91-107A-4CFE-B820-6A14655C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f84-5003-4914-8779-ca13dfc2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2F09C-4416-4FC3-A9AA-DF1E18CD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sch8753157</cp:lastModifiedBy>
  <cp:revision>27</cp:revision>
  <cp:lastPrinted>2020-11-16T15:02:00Z</cp:lastPrinted>
  <dcterms:created xsi:type="dcterms:W3CDTF">2021-05-14T09:22:00Z</dcterms:created>
  <dcterms:modified xsi:type="dcterms:W3CDTF">2021-11-09T16:09:00Z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