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1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3861"/>
        <w:gridCol w:w="8330"/>
      </w:tblGrid>
      <w:tr w:rsidR="00FB5E5D" w:rsidRPr="009C26E1" w:rsidTr="008E19CD">
        <w:trPr>
          <w:trHeight w:val="27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FB5E5D" w:rsidRPr="009C26E1" w:rsidRDefault="00FB5E5D" w:rsidP="008E19CD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</w:rPr>
              <w:t>YEAR 2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E5D" w:rsidRPr="009C26E1" w:rsidRDefault="00FB5E5D" w:rsidP="008E19C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</w:pPr>
            <w:r w:rsidRPr="009C26E1"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>Spring 1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E5D" w:rsidRPr="009C26E1" w:rsidRDefault="00FB5E5D" w:rsidP="008E19C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</w:pPr>
            <w:r w:rsidRPr="009C26E1"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>Spring 2</w:t>
            </w:r>
          </w:p>
        </w:tc>
      </w:tr>
      <w:tr w:rsidR="00FB5E5D" w:rsidRPr="00030C88" w:rsidTr="00FB5E5D">
        <w:trPr>
          <w:trHeight w:val="41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B5E5D" w:rsidRPr="009C26E1" w:rsidRDefault="00FB5E5D" w:rsidP="008E19CD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Cornerstones ILP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000"/>
          </w:tcPr>
          <w:p w:rsidR="00FB5E5D" w:rsidRDefault="00FB5E5D" w:rsidP="008E19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6"/>
                <w:u w:val="single"/>
              </w:rPr>
              <w:t>Global Learning</w:t>
            </w:r>
          </w:p>
          <w:p w:rsidR="00FB5E5D" w:rsidRPr="00FB5E5D" w:rsidRDefault="00FB5E5D" w:rsidP="00FB5E5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FB5E5D">
              <w:rPr>
                <w:rFonts w:ascii="Arial" w:hAnsi="Arial" w:cs="Arial"/>
                <w:sz w:val="16"/>
                <w:szCs w:val="16"/>
              </w:rPr>
              <w:t>Exploring Nepal, George Mallory and Mount Everest.</w:t>
            </w:r>
          </w:p>
        </w:tc>
        <w:tc>
          <w:tcPr>
            <w:tcW w:w="12191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B5E5D" w:rsidRDefault="00FB5E5D" w:rsidP="00FB5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6"/>
                <w:u w:val="single"/>
              </w:rPr>
              <w:t>Towers, Tunnels and Turrets</w:t>
            </w:r>
          </w:p>
          <w:p w:rsidR="00FB5E5D" w:rsidRDefault="00144C44" w:rsidP="00FB5E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this imaginative learning project the children will learn about castles through the ages.  They will design and make their own castle using papier-mâché. </w:t>
            </w:r>
          </w:p>
          <w:p w:rsidR="00144C44" w:rsidRPr="00144C44" w:rsidRDefault="00144C44" w:rsidP="00FB5E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C44">
              <w:rPr>
                <w:rFonts w:ascii="Arial" w:hAnsi="Arial" w:cs="Arial"/>
                <w:b/>
                <w:sz w:val="16"/>
                <w:szCs w:val="16"/>
              </w:rPr>
              <w:t>English focus</w:t>
            </w:r>
            <w:r>
              <w:rPr>
                <w:rFonts w:ascii="Arial" w:hAnsi="Arial" w:cs="Arial"/>
                <w:sz w:val="16"/>
                <w:szCs w:val="16"/>
              </w:rPr>
              <w:t xml:space="preserve"> – Recounts, letters, posters and reports.</w:t>
            </w:r>
          </w:p>
        </w:tc>
      </w:tr>
      <w:tr w:rsidR="00FB5E5D" w:rsidRPr="00030C88" w:rsidTr="00BF3755">
        <w:trPr>
          <w:trHeight w:val="1493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B5E5D" w:rsidRPr="009C26E1" w:rsidRDefault="00FB5E5D" w:rsidP="008E19CD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English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B5E5D" w:rsidRPr="00030C88" w:rsidRDefault="00FB5E5D" w:rsidP="00BF375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C26E1">
              <w:rPr>
                <w:rFonts w:ascii="Arial" w:hAnsi="Arial" w:cs="Arial"/>
                <w:b/>
                <w:sz w:val="16"/>
                <w:szCs w:val="16"/>
                <w:u w:val="single"/>
              </w:rPr>
              <w:t>WRITE TO INFORM</w:t>
            </w:r>
          </w:p>
          <w:p w:rsidR="00FB5E5D" w:rsidRPr="002B7F18" w:rsidRDefault="00FE769F" w:rsidP="008E1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176"/>
              <w:rPr>
                <w:rFonts w:ascii="Arial" w:hAnsi="Arial" w:cs="Arial"/>
                <w:b/>
                <w:sz w:val="16"/>
                <w:szCs w:val="16"/>
              </w:rPr>
            </w:pPr>
            <w:r w:rsidRPr="002B7F18">
              <w:rPr>
                <w:rFonts w:ascii="Arial" w:hAnsi="Arial" w:cs="Arial"/>
                <w:b/>
                <w:sz w:val="16"/>
                <w:szCs w:val="16"/>
              </w:rPr>
              <w:t>Information texts</w:t>
            </w:r>
            <w:r w:rsidR="00FB5E5D" w:rsidRPr="002B7F1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B5E5D" w:rsidRDefault="00FE769F" w:rsidP="008E19C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Stimulus – ‘</w:t>
            </w:r>
            <w:r w:rsidRPr="00FE769F">
              <w:rPr>
                <w:rFonts w:ascii="Arial" w:hAnsi="Arial" w:cs="Arial"/>
                <w:i/>
                <w:sz w:val="16"/>
                <w:szCs w:val="16"/>
              </w:rPr>
              <w:t>The Egg</w:t>
            </w:r>
            <w:r>
              <w:rPr>
                <w:rFonts w:ascii="Arial" w:hAnsi="Arial" w:cs="Arial"/>
                <w:i/>
                <w:sz w:val="16"/>
                <w:szCs w:val="16"/>
              </w:rPr>
              <w:t>’</w:t>
            </w:r>
          </w:p>
          <w:p w:rsidR="00FE769F" w:rsidRDefault="00FE769F" w:rsidP="008E19C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E769F" w:rsidRPr="002B7F18" w:rsidRDefault="00FE769F" w:rsidP="008E19C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B7F18">
              <w:rPr>
                <w:rFonts w:ascii="Arial" w:hAnsi="Arial" w:cs="Arial"/>
                <w:sz w:val="16"/>
                <w:szCs w:val="16"/>
              </w:rPr>
              <w:t xml:space="preserve">The children will write fictional and non-fiction </w:t>
            </w:r>
            <w:r w:rsidR="002B7F18">
              <w:rPr>
                <w:rFonts w:ascii="Arial" w:hAnsi="Arial" w:cs="Arial"/>
                <w:sz w:val="16"/>
                <w:szCs w:val="16"/>
              </w:rPr>
              <w:t>information texts.</w:t>
            </w:r>
          </w:p>
          <w:p w:rsidR="002B7F18" w:rsidRDefault="002B7F18" w:rsidP="002B7F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176"/>
              <w:rPr>
                <w:rFonts w:ascii="Arial" w:hAnsi="Arial" w:cs="Arial"/>
                <w:sz w:val="16"/>
                <w:szCs w:val="16"/>
              </w:rPr>
            </w:pPr>
          </w:p>
          <w:p w:rsidR="00FB5E5D" w:rsidRPr="00BF3755" w:rsidRDefault="002B7F18" w:rsidP="002B7F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176"/>
              <w:rPr>
                <w:rFonts w:ascii="Arial" w:hAnsi="Arial" w:cs="Arial"/>
                <w:sz w:val="16"/>
                <w:szCs w:val="16"/>
              </w:rPr>
            </w:pPr>
            <w:r w:rsidRPr="002B7F18">
              <w:rPr>
                <w:rFonts w:ascii="Arial" w:hAnsi="Arial" w:cs="Arial"/>
                <w:b/>
                <w:sz w:val="16"/>
                <w:szCs w:val="16"/>
              </w:rPr>
              <w:t>Newspaper reports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B037F9">
              <w:rPr>
                <w:rFonts w:ascii="Arial" w:hAnsi="Arial" w:cs="Arial"/>
                <w:sz w:val="16"/>
                <w:szCs w:val="16"/>
              </w:rPr>
              <w:t xml:space="preserve">linked to </w:t>
            </w:r>
            <w:r>
              <w:rPr>
                <w:rFonts w:ascii="Arial" w:hAnsi="Arial" w:cs="Arial"/>
                <w:sz w:val="16"/>
                <w:szCs w:val="16"/>
              </w:rPr>
              <w:t>cornerstones curriculum.</w:t>
            </w:r>
            <w:bookmarkStart w:id="0" w:name="_GoBack"/>
            <w:bookmarkEnd w:id="0"/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B5E5D" w:rsidRPr="00030C88" w:rsidRDefault="00FB5E5D" w:rsidP="008E19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C26E1">
              <w:rPr>
                <w:rFonts w:ascii="Arial" w:hAnsi="Arial" w:cs="Arial"/>
                <w:b/>
                <w:sz w:val="16"/>
                <w:szCs w:val="16"/>
                <w:u w:val="single"/>
              </w:rPr>
              <w:t>WRITE TO ENTERTAIN</w:t>
            </w:r>
          </w:p>
          <w:p w:rsidR="00FB5E5D" w:rsidRPr="00030C88" w:rsidRDefault="00FB5E5D" w:rsidP="008E19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75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30C88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  <w:p w:rsidR="00FB5E5D" w:rsidRDefault="002B7F18" w:rsidP="00B037F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2B7F18">
              <w:rPr>
                <w:rFonts w:ascii="Arial" w:hAnsi="Arial" w:cs="Arial"/>
                <w:b/>
                <w:sz w:val="16"/>
                <w:szCs w:val="16"/>
              </w:rPr>
              <w:t>Character descriptions</w:t>
            </w:r>
            <w:r w:rsidR="00B15CDB">
              <w:rPr>
                <w:rFonts w:ascii="Arial" w:hAnsi="Arial" w:cs="Arial"/>
                <w:b/>
                <w:sz w:val="16"/>
                <w:szCs w:val="16"/>
              </w:rPr>
              <w:t xml:space="preserve"> – dragons, knights, kings, queens and wizards.</w:t>
            </w:r>
          </w:p>
          <w:p w:rsidR="00B037F9" w:rsidRDefault="00B037F9" w:rsidP="00B037F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37F9" w:rsidRPr="00B037F9" w:rsidRDefault="00B037F9" w:rsidP="00B037F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Poetry</w:t>
            </w:r>
            <w:r w:rsidR="00B15CDB">
              <w:rPr>
                <w:rFonts w:ascii="Arial" w:hAnsi="Arial" w:cs="Arial"/>
                <w:b/>
                <w:sz w:val="16"/>
                <w:szCs w:val="16"/>
              </w:rPr>
              <w:t xml:space="preserve"> – alliteration, rhyming couplets.</w:t>
            </w:r>
          </w:p>
          <w:p w:rsidR="002B7F18" w:rsidRPr="002B7F18" w:rsidRDefault="002B7F18" w:rsidP="008E19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B5E5D" w:rsidRPr="00B037F9" w:rsidRDefault="00B037F9" w:rsidP="008E19C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37F9">
              <w:rPr>
                <w:rFonts w:ascii="Arial" w:hAnsi="Arial" w:cs="Arial"/>
                <w:b/>
                <w:sz w:val="16"/>
                <w:szCs w:val="16"/>
              </w:rPr>
              <w:t>Story writing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</w:t>
            </w:r>
            <w:r w:rsidR="00B15CDB">
              <w:rPr>
                <w:rFonts w:ascii="Arial" w:hAnsi="Arial" w:cs="Arial"/>
                <w:b/>
                <w:sz w:val="16"/>
                <w:szCs w:val="16"/>
              </w:rPr>
              <w:t xml:space="preserve"> Stories by a familiar author - Oliver Jeffers </w:t>
            </w:r>
            <w:proofErr w:type="gramStart"/>
            <w:r w:rsidR="00B15CDB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037F9">
              <w:rPr>
                <w:rFonts w:ascii="Arial" w:hAnsi="Arial" w:cs="Arial"/>
                <w:sz w:val="16"/>
                <w:szCs w:val="16"/>
              </w:rPr>
              <w:t>retelling</w:t>
            </w:r>
            <w:proofErr w:type="gramEnd"/>
            <w:r w:rsidRPr="00B037F9">
              <w:rPr>
                <w:rFonts w:ascii="Arial" w:hAnsi="Arial" w:cs="Arial"/>
                <w:sz w:val="16"/>
                <w:szCs w:val="16"/>
              </w:rPr>
              <w:t xml:space="preserve"> and reinventing stories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B5E5D" w:rsidRPr="00030C88" w:rsidTr="008E19CD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B5E5D" w:rsidRPr="009C26E1" w:rsidRDefault="00FB5E5D" w:rsidP="008E19CD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Grammar and punctuation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B5E5D" w:rsidRPr="00030C88" w:rsidRDefault="009B3B73" w:rsidP="008E19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FB5E5D" w:rsidRPr="00030C88">
              <w:rPr>
                <w:rFonts w:ascii="Arial" w:hAnsi="Arial" w:cs="Arial"/>
                <w:sz w:val="16"/>
                <w:szCs w:val="16"/>
              </w:rPr>
              <w:t>onjunctions</w:t>
            </w:r>
          </w:p>
          <w:p w:rsidR="00FB5E5D" w:rsidRPr="00030C88" w:rsidRDefault="00FB5E5D" w:rsidP="008E19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t xml:space="preserve">Present and </w:t>
            </w:r>
            <w:r w:rsidR="009B3B73">
              <w:rPr>
                <w:rFonts w:ascii="Arial" w:hAnsi="Arial" w:cs="Arial"/>
                <w:sz w:val="16"/>
                <w:szCs w:val="16"/>
              </w:rPr>
              <w:t>p</w:t>
            </w:r>
            <w:r w:rsidRPr="00030C88">
              <w:rPr>
                <w:rFonts w:ascii="Arial" w:hAnsi="Arial" w:cs="Arial"/>
                <w:sz w:val="16"/>
                <w:szCs w:val="16"/>
              </w:rPr>
              <w:t>ast progressive</w:t>
            </w:r>
          </w:p>
          <w:p w:rsidR="00FB5E5D" w:rsidRPr="00030C88" w:rsidRDefault="00B037F9" w:rsidP="008E19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Commas</w:t>
            </w:r>
          </w:p>
          <w:p w:rsidR="00FB5E5D" w:rsidRPr="00030C88" w:rsidRDefault="008734CD" w:rsidP="008E19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Apostrophe for possession</w:t>
            </w:r>
          </w:p>
          <w:p w:rsidR="00FB5E5D" w:rsidRPr="00030C88" w:rsidRDefault="00B037F9" w:rsidP="008E19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Speech marks</w:t>
            </w:r>
          </w:p>
          <w:p w:rsidR="00FB5E5D" w:rsidRPr="00030C88" w:rsidRDefault="00B037F9" w:rsidP="008E19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 marks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B5E5D" w:rsidRPr="009B3B73" w:rsidRDefault="009B3B73" w:rsidP="009B3B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3B73">
              <w:rPr>
                <w:rFonts w:ascii="Arial" w:hAnsi="Arial" w:cs="Arial"/>
                <w:sz w:val="16"/>
                <w:szCs w:val="16"/>
              </w:rPr>
              <w:t>Noun phrases</w:t>
            </w:r>
          </w:p>
          <w:p w:rsidR="009B3B73" w:rsidRPr="009B3B73" w:rsidRDefault="009B3B73" w:rsidP="009B3B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3B73">
              <w:rPr>
                <w:rFonts w:ascii="Arial" w:hAnsi="Arial" w:cs="Arial"/>
                <w:sz w:val="16"/>
                <w:szCs w:val="16"/>
              </w:rPr>
              <w:t>Speech marks</w:t>
            </w:r>
          </w:p>
          <w:p w:rsidR="009B3B73" w:rsidRPr="009B3B73" w:rsidRDefault="008734CD" w:rsidP="009B3B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Contractions</w:t>
            </w:r>
          </w:p>
          <w:p w:rsidR="009B3B73" w:rsidRPr="00B15CDB" w:rsidRDefault="009B3B73" w:rsidP="009B3B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Suffixes and prefixes</w:t>
            </w:r>
          </w:p>
          <w:p w:rsidR="00B15CDB" w:rsidRPr="00030C88" w:rsidRDefault="00B15CDB" w:rsidP="009B3B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Compound words</w:t>
            </w:r>
          </w:p>
        </w:tc>
      </w:tr>
      <w:tr w:rsidR="00FB5E5D" w:rsidRPr="00030C88" w:rsidTr="008E19CD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B5E5D" w:rsidRPr="009C26E1" w:rsidRDefault="00FB5E5D" w:rsidP="008E19CD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Spelling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B5E5D" w:rsidRPr="00030C88" w:rsidRDefault="00102E8E" w:rsidP="008E19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Year 2 </w:t>
            </w:r>
            <w:r w:rsidR="00FB5E5D" w:rsidRPr="00030C88">
              <w:rPr>
                <w:rFonts w:ascii="Arial" w:hAnsi="Arial" w:cs="Arial"/>
                <w:sz w:val="16"/>
                <w:szCs w:val="16"/>
                <w:u w:val="single"/>
              </w:rPr>
              <w:t>statutory words</w:t>
            </w:r>
          </w:p>
          <w:p w:rsidR="00FB5E5D" w:rsidRPr="008734CD" w:rsidRDefault="008734CD" w:rsidP="008734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4CD">
              <w:rPr>
                <w:rFonts w:ascii="Arial" w:hAnsi="Arial" w:cs="Arial"/>
                <w:sz w:val="16"/>
                <w:szCs w:val="16"/>
              </w:rPr>
              <w:t xml:space="preserve">Prefixes and suffixes </w:t>
            </w:r>
            <w:r w:rsidR="00102E8E" w:rsidRPr="008734CD">
              <w:rPr>
                <w:rFonts w:ascii="Arial" w:hAnsi="Arial" w:cs="Arial"/>
                <w:sz w:val="16"/>
                <w:szCs w:val="16"/>
              </w:rPr>
              <w:t xml:space="preserve">-un, dis, </w:t>
            </w:r>
            <w:proofErr w:type="spellStart"/>
            <w:r w:rsidR="00102E8E" w:rsidRPr="008734CD">
              <w:rPr>
                <w:rFonts w:ascii="Arial" w:hAnsi="Arial" w:cs="Arial"/>
                <w:sz w:val="16"/>
                <w:szCs w:val="16"/>
              </w:rPr>
              <w:t>ing</w:t>
            </w:r>
            <w:proofErr w:type="spellEnd"/>
            <w:r w:rsidR="00102E8E" w:rsidRPr="008734C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102E8E" w:rsidRPr="008734CD">
              <w:rPr>
                <w:rFonts w:ascii="Arial" w:hAnsi="Arial" w:cs="Arial"/>
                <w:sz w:val="16"/>
                <w:szCs w:val="16"/>
              </w:rPr>
              <w:t>ed</w:t>
            </w:r>
            <w:proofErr w:type="spellEnd"/>
            <w:r w:rsidR="00102E8E" w:rsidRPr="008734C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102E8E" w:rsidRPr="008734CD">
              <w:rPr>
                <w:rFonts w:ascii="Arial" w:hAnsi="Arial" w:cs="Arial"/>
                <w:sz w:val="16"/>
                <w:szCs w:val="16"/>
              </w:rPr>
              <w:t>ly</w:t>
            </w:r>
            <w:proofErr w:type="spellEnd"/>
          </w:p>
          <w:p w:rsidR="00FB5E5D" w:rsidRPr="008734CD" w:rsidRDefault="00FB5E5D" w:rsidP="008734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4CD">
              <w:rPr>
                <w:rFonts w:ascii="Arial" w:hAnsi="Arial" w:cs="Arial"/>
                <w:sz w:val="16"/>
                <w:szCs w:val="16"/>
              </w:rPr>
              <w:t>Apostrophes for contraction</w:t>
            </w:r>
          </w:p>
          <w:p w:rsidR="00FB5E5D" w:rsidRPr="008734CD" w:rsidRDefault="00FB5E5D" w:rsidP="008734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4CD">
              <w:rPr>
                <w:rFonts w:ascii="Arial" w:hAnsi="Arial" w:cs="Arial"/>
                <w:sz w:val="16"/>
                <w:szCs w:val="16"/>
              </w:rPr>
              <w:t>Words with silent letters</w:t>
            </w:r>
          </w:p>
          <w:p w:rsidR="00FB5E5D" w:rsidRPr="00030C88" w:rsidRDefault="00FB5E5D" w:rsidP="006324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8734CD">
              <w:rPr>
                <w:rFonts w:ascii="Arial" w:hAnsi="Arial" w:cs="Arial"/>
                <w:sz w:val="16"/>
                <w:szCs w:val="16"/>
              </w:rPr>
              <w:t>Plurals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B5E5D" w:rsidRPr="0042646D" w:rsidRDefault="008734CD" w:rsidP="004264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2646D">
              <w:rPr>
                <w:rFonts w:ascii="Arial" w:hAnsi="Arial" w:cs="Arial"/>
                <w:sz w:val="16"/>
                <w:szCs w:val="16"/>
                <w:u w:val="single"/>
              </w:rPr>
              <w:t xml:space="preserve">Year 2 </w:t>
            </w:r>
            <w:r w:rsidR="00FB5E5D" w:rsidRPr="0042646D">
              <w:rPr>
                <w:rFonts w:ascii="Arial" w:hAnsi="Arial" w:cs="Arial"/>
                <w:sz w:val="16"/>
                <w:szCs w:val="16"/>
                <w:u w:val="single"/>
              </w:rPr>
              <w:t>statutory words</w:t>
            </w:r>
          </w:p>
          <w:p w:rsidR="00FB5E5D" w:rsidRPr="008734CD" w:rsidRDefault="00FB5E5D" w:rsidP="008734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4CD">
              <w:rPr>
                <w:rFonts w:ascii="Arial" w:hAnsi="Arial" w:cs="Arial"/>
                <w:sz w:val="16"/>
                <w:szCs w:val="16"/>
              </w:rPr>
              <w:t>Prefixes –</w:t>
            </w:r>
            <w:r w:rsidR="008734CD">
              <w:rPr>
                <w:rFonts w:ascii="Arial" w:hAnsi="Arial" w:cs="Arial"/>
                <w:sz w:val="16"/>
                <w:szCs w:val="16"/>
              </w:rPr>
              <w:t>un and dis</w:t>
            </w:r>
          </w:p>
          <w:p w:rsidR="00FB5E5D" w:rsidRPr="008734CD" w:rsidRDefault="008734CD" w:rsidP="008734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Suffixes –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ness</w:t>
            </w:r>
          </w:p>
          <w:p w:rsidR="00FB5E5D" w:rsidRPr="00030C88" w:rsidRDefault="00FB5E5D" w:rsidP="008E19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3D71DA" w:rsidRPr="00030C88" w:rsidTr="00141C2D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D71DA" w:rsidRPr="009C26E1" w:rsidRDefault="003D71DA" w:rsidP="008E19CD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6"/>
              </w:rPr>
              <w:t>Time to Read</w:t>
            </w:r>
          </w:p>
        </w:tc>
        <w:tc>
          <w:tcPr>
            <w:tcW w:w="14317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D71DA" w:rsidRDefault="003D71DA" w:rsidP="003D71D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Time to Read </w:t>
            </w:r>
            <w:r w:rsidR="00E13D73">
              <w:rPr>
                <w:rFonts w:ascii="Arial" w:hAnsi="Arial" w:cs="Arial"/>
                <w:sz w:val="16"/>
                <w:szCs w:val="16"/>
              </w:rPr>
              <w:t xml:space="preserve">morning </w:t>
            </w:r>
            <w:r>
              <w:rPr>
                <w:rFonts w:ascii="Arial" w:hAnsi="Arial" w:cs="Arial"/>
                <w:sz w:val="16"/>
                <w:szCs w:val="16"/>
              </w:rPr>
              <w:t>carousel will continue next term.</w:t>
            </w:r>
            <w:r w:rsidR="00E13D73">
              <w:rPr>
                <w:rFonts w:ascii="Arial" w:hAnsi="Arial" w:cs="Arial"/>
                <w:sz w:val="16"/>
                <w:szCs w:val="16"/>
              </w:rPr>
              <w:t xml:space="preserve">  Each group works on an activity listed below and all will be completed during the week.</w:t>
            </w:r>
          </w:p>
          <w:p w:rsidR="003D71DA" w:rsidRDefault="003D71DA" w:rsidP="003D71D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3D73">
              <w:rPr>
                <w:rFonts w:ascii="Arial" w:hAnsi="Arial" w:cs="Arial"/>
                <w:b/>
                <w:sz w:val="16"/>
                <w:szCs w:val="16"/>
              </w:rPr>
              <w:t>Guided Reading</w:t>
            </w:r>
            <w:r w:rsidR="00E13D73">
              <w:rPr>
                <w:rFonts w:ascii="Arial" w:hAnsi="Arial" w:cs="Arial"/>
                <w:sz w:val="16"/>
                <w:szCs w:val="16"/>
              </w:rPr>
              <w:t xml:space="preserve"> with a teacher</w:t>
            </w:r>
            <w:r>
              <w:rPr>
                <w:rFonts w:ascii="Arial" w:hAnsi="Arial" w:cs="Arial"/>
                <w:sz w:val="16"/>
                <w:szCs w:val="16"/>
              </w:rPr>
              <w:t xml:space="preserve"> – past SATs papers with a focus on reading comprehension.</w:t>
            </w:r>
          </w:p>
          <w:p w:rsidR="003D71DA" w:rsidRDefault="003D71DA" w:rsidP="003D71D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3D73">
              <w:rPr>
                <w:rFonts w:ascii="Arial" w:hAnsi="Arial" w:cs="Arial"/>
                <w:b/>
                <w:sz w:val="16"/>
                <w:szCs w:val="16"/>
              </w:rPr>
              <w:t>Phonics activity</w:t>
            </w:r>
            <w:r>
              <w:rPr>
                <w:rFonts w:ascii="Arial" w:hAnsi="Arial" w:cs="Arial"/>
                <w:sz w:val="16"/>
                <w:szCs w:val="16"/>
              </w:rPr>
              <w:t xml:space="preserve"> – spelling pattern games.</w:t>
            </w:r>
          </w:p>
          <w:p w:rsidR="003D71DA" w:rsidRDefault="00E13D73" w:rsidP="003D71D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3D73">
              <w:rPr>
                <w:rFonts w:ascii="Arial" w:hAnsi="Arial" w:cs="Arial"/>
                <w:b/>
                <w:sz w:val="16"/>
                <w:szCs w:val="16"/>
              </w:rPr>
              <w:t>Spelling activity</w:t>
            </w:r>
            <w:r>
              <w:rPr>
                <w:rFonts w:ascii="Arial" w:hAnsi="Arial" w:cs="Arial"/>
                <w:sz w:val="16"/>
                <w:szCs w:val="16"/>
              </w:rPr>
              <w:t xml:space="preserve"> – practising the weekly spellings independently.</w:t>
            </w:r>
          </w:p>
          <w:p w:rsidR="00E13D73" w:rsidRDefault="00E13D73" w:rsidP="003D71D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3D73">
              <w:rPr>
                <w:rFonts w:ascii="Arial" w:hAnsi="Arial" w:cs="Arial"/>
                <w:b/>
                <w:sz w:val="16"/>
                <w:szCs w:val="16"/>
              </w:rPr>
              <w:t>Handwriting</w:t>
            </w:r>
            <w:r>
              <w:rPr>
                <w:rFonts w:ascii="Arial" w:hAnsi="Arial" w:cs="Arial"/>
                <w:sz w:val="16"/>
                <w:szCs w:val="16"/>
              </w:rPr>
              <w:t xml:space="preserve"> – independent handwriting practise.</w:t>
            </w:r>
          </w:p>
          <w:p w:rsidR="00E13D73" w:rsidRPr="00030C88" w:rsidRDefault="00E13D73" w:rsidP="003D71D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3D73">
              <w:rPr>
                <w:rFonts w:ascii="Arial" w:hAnsi="Arial" w:cs="Arial"/>
                <w:b/>
                <w:sz w:val="16"/>
                <w:szCs w:val="16"/>
              </w:rPr>
              <w:t>Reading comprehension</w:t>
            </w:r>
            <w:r>
              <w:rPr>
                <w:rFonts w:ascii="Arial" w:hAnsi="Arial" w:cs="Arial"/>
                <w:sz w:val="16"/>
                <w:szCs w:val="16"/>
              </w:rPr>
              <w:t xml:space="preserve"> – short comprehension activity to be done independently,</w:t>
            </w:r>
          </w:p>
        </w:tc>
      </w:tr>
      <w:tr w:rsidR="00FB5E5D" w:rsidRPr="00030C88" w:rsidTr="008E19CD">
        <w:tc>
          <w:tcPr>
            <w:tcW w:w="152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B5E5D" w:rsidRPr="009C26E1" w:rsidRDefault="00FB5E5D" w:rsidP="008E19CD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Maths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253BE" w:rsidRDefault="00FB5E5D" w:rsidP="008E19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53BE">
              <w:rPr>
                <w:rFonts w:ascii="Arial" w:hAnsi="Arial" w:cs="Arial"/>
                <w:b/>
                <w:bCs/>
                <w:sz w:val="16"/>
                <w:szCs w:val="16"/>
              </w:rPr>
              <w:t>Number</w:t>
            </w:r>
            <w:r w:rsidRPr="00030C88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="00D253BE">
              <w:rPr>
                <w:rFonts w:ascii="Arial" w:hAnsi="Arial" w:cs="Arial"/>
                <w:bCs/>
                <w:sz w:val="16"/>
                <w:szCs w:val="16"/>
              </w:rPr>
              <w:t>Addition and subtraction (column method)</w:t>
            </w:r>
          </w:p>
          <w:p w:rsidR="00FB5E5D" w:rsidRPr="00030C88" w:rsidRDefault="00FB5E5D" w:rsidP="008E19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53BE">
              <w:rPr>
                <w:rFonts w:ascii="Arial" w:hAnsi="Arial" w:cs="Arial"/>
                <w:b/>
                <w:bCs/>
                <w:sz w:val="16"/>
                <w:szCs w:val="16"/>
              </w:rPr>
              <w:t>Number</w:t>
            </w:r>
            <w:r w:rsidRPr="00030C88"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 w:rsidR="00D253BE">
              <w:rPr>
                <w:rFonts w:ascii="Arial" w:hAnsi="Arial" w:cs="Arial"/>
                <w:bCs/>
                <w:sz w:val="16"/>
                <w:szCs w:val="16"/>
              </w:rPr>
              <w:t>Multiplication and division (arrays and number lines)</w:t>
            </w:r>
          </w:p>
          <w:p w:rsidR="00FB5E5D" w:rsidRPr="00030C88" w:rsidRDefault="00D253BE" w:rsidP="00D2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53BE">
              <w:rPr>
                <w:rFonts w:ascii="Arial" w:hAnsi="Arial" w:cs="Arial"/>
                <w:b/>
                <w:bCs/>
                <w:sz w:val="16"/>
                <w:szCs w:val="16"/>
              </w:rPr>
              <w:t>Reasoning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word problems with a focus on two and three step problems.</w:t>
            </w:r>
            <w:r w:rsidR="00FB5E5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B5E5D" w:rsidRDefault="00D253BE" w:rsidP="00D2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53BE">
              <w:rPr>
                <w:rFonts w:ascii="Arial" w:hAnsi="Arial" w:cs="Arial"/>
                <w:b/>
                <w:bCs/>
                <w:sz w:val="16"/>
                <w:szCs w:val="16"/>
              </w:rPr>
              <w:t>Money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addition and finding change – real life word problems.</w:t>
            </w:r>
          </w:p>
          <w:p w:rsidR="00D253BE" w:rsidRPr="00030C88" w:rsidRDefault="00D253BE" w:rsidP="00D2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53BE"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telling time to half past, quarter past and quarter to (challenge for 5minute intervals)</w:t>
            </w:r>
          </w:p>
        </w:tc>
      </w:tr>
      <w:tr w:rsidR="00FB5E5D" w:rsidRPr="00030C88" w:rsidTr="008E19CD">
        <w:trPr>
          <w:trHeight w:val="203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B5E5D" w:rsidRPr="009C26E1" w:rsidRDefault="00FB5E5D" w:rsidP="008E19CD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Science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5E5D" w:rsidRPr="00E05214" w:rsidRDefault="00E05214" w:rsidP="00E0521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214">
              <w:rPr>
                <w:rFonts w:ascii="Arial" w:hAnsi="Arial" w:cs="Arial"/>
                <w:b/>
                <w:sz w:val="16"/>
                <w:szCs w:val="16"/>
              </w:rPr>
              <w:t>Animals and Habitats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B5E5D" w:rsidRPr="00E05214" w:rsidRDefault="0042646D" w:rsidP="008E19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Human Body</w:t>
            </w:r>
            <w:r w:rsidR="00FB5E5D" w:rsidRPr="00E0521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42646D" w:rsidRPr="00030C88" w:rsidTr="0042646D">
        <w:tc>
          <w:tcPr>
            <w:tcW w:w="15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2646D" w:rsidRPr="009C26E1" w:rsidRDefault="0042646D" w:rsidP="008E19CD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Geography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000"/>
          </w:tcPr>
          <w:p w:rsidR="0042646D" w:rsidRDefault="0042646D" w:rsidP="008E19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Using atlases to locate Nepal and Mount Everest.</w:t>
            </w:r>
          </w:p>
          <w:p w:rsidR="0042646D" w:rsidRPr="00030C88" w:rsidRDefault="0042646D" w:rsidP="008E19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Looking at the geographical features of the environment.</w:t>
            </w:r>
          </w:p>
        </w:tc>
        <w:tc>
          <w:tcPr>
            <w:tcW w:w="1219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2646D" w:rsidRPr="0042646D" w:rsidRDefault="0042646D" w:rsidP="008E19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2646D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Towers, Tunnels and Turrets</w:t>
            </w:r>
          </w:p>
          <w:p w:rsidR="0042646D" w:rsidRDefault="0042646D" w:rsidP="008E19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children will be finding out about amazing structures around the world and will look at the local area and important buildings close to home.</w:t>
            </w:r>
          </w:p>
          <w:p w:rsidR="00B15CDB" w:rsidRDefault="00B15CDB" w:rsidP="008E19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children will retell and reinvent traditional stories – Rapunzel.</w:t>
            </w:r>
          </w:p>
          <w:p w:rsidR="00B15CDB" w:rsidRPr="00030C88" w:rsidRDefault="00B15CDB" w:rsidP="00B15C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children will describe settings - Hogwarts and Camelot.</w:t>
            </w:r>
          </w:p>
        </w:tc>
      </w:tr>
      <w:tr w:rsidR="0063248A" w:rsidRPr="00030C88" w:rsidTr="00F153FF">
        <w:tc>
          <w:tcPr>
            <w:tcW w:w="152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3248A" w:rsidRPr="009C26E1" w:rsidRDefault="0063248A" w:rsidP="008E19CD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History</w:t>
            </w:r>
          </w:p>
        </w:tc>
        <w:tc>
          <w:tcPr>
            <w:tcW w:w="14317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3248A" w:rsidRDefault="0063248A" w:rsidP="0063248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46D">
              <w:rPr>
                <w:rFonts w:ascii="Arial" w:hAnsi="Arial" w:cs="Arial"/>
                <w:b/>
                <w:color w:val="000000"/>
                <w:sz w:val="16"/>
                <w:szCs w:val="16"/>
              </w:rPr>
              <w:t>Significant Historical Figure</w:t>
            </w:r>
            <w:r w:rsidRPr="00030C88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Isambard Kingdom Brunel and George Mallory</w:t>
            </w:r>
          </w:p>
          <w:p w:rsidR="0063248A" w:rsidRPr="00030C88" w:rsidRDefault="0063248A" w:rsidP="0063248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Buildings in the past and present – </w:t>
            </w:r>
            <w:r w:rsidRPr="0063248A">
              <w:rPr>
                <w:rFonts w:ascii="Arial" w:hAnsi="Arial" w:cs="Arial"/>
                <w:color w:val="000000"/>
                <w:sz w:val="16"/>
                <w:szCs w:val="16"/>
              </w:rPr>
              <w:t xml:space="preserve">The class will look at and compare similarities and differences between buildings and bridges through the ages.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The children will also create a timeline of castles</w:t>
            </w:r>
          </w:p>
        </w:tc>
      </w:tr>
      <w:tr w:rsidR="0042646D" w:rsidRPr="00030C88" w:rsidTr="0042646D">
        <w:trPr>
          <w:trHeight w:val="519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2646D" w:rsidRPr="009C26E1" w:rsidRDefault="0042646D" w:rsidP="0042646D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 xml:space="preserve">Computing </w:t>
            </w:r>
          </w:p>
        </w:tc>
        <w:tc>
          <w:tcPr>
            <w:tcW w:w="14317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2646D" w:rsidRDefault="0042646D" w:rsidP="008E19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646D">
              <w:rPr>
                <w:rFonts w:ascii="Arial" w:hAnsi="Arial" w:cs="Arial"/>
                <w:b/>
                <w:sz w:val="16"/>
                <w:szCs w:val="16"/>
              </w:rPr>
              <w:t xml:space="preserve">Switched on computing curriculum </w:t>
            </w:r>
          </w:p>
          <w:p w:rsidR="0042646D" w:rsidRPr="0042646D" w:rsidRDefault="0042646D" w:rsidP="004264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Coding, algorithms, making music,</w:t>
            </w:r>
            <w:r w:rsidR="0063248A">
              <w:rPr>
                <w:rFonts w:ascii="Arial" w:hAnsi="Arial" w:cs="Arial"/>
                <w:sz w:val="16"/>
                <w:szCs w:val="16"/>
              </w:rPr>
              <w:t xml:space="preserve"> taking and editing photographs and </w:t>
            </w:r>
            <w:r>
              <w:rPr>
                <w:rFonts w:ascii="Arial" w:hAnsi="Arial" w:cs="Arial"/>
                <w:sz w:val="16"/>
                <w:szCs w:val="16"/>
              </w:rPr>
              <w:t>making short stop motion animations.</w:t>
            </w:r>
          </w:p>
        </w:tc>
      </w:tr>
      <w:tr w:rsidR="00FB5E5D" w:rsidRPr="00030C88" w:rsidTr="008E19CD">
        <w:trPr>
          <w:trHeight w:val="2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B5E5D" w:rsidRPr="009C26E1" w:rsidRDefault="00FB5E5D" w:rsidP="008E19CD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RE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B5E5D" w:rsidRPr="00030C88" w:rsidRDefault="00FB5E5D" w:rsidP="008E19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t>Christianity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B5E5D" w:rsidRPr="00030C88" w:rsidRDefault="00FB5E5D" w:rsidP="008E19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t>Christianity</w:t>
            </w:r>
          </w:p>
        </w:tc>
      </w:tr>
      <w:tr w:rsidR="00FB5E5D" w:rsidRPr="00030C88" w:rsidTr="008E19CD">
        <w:tc>
          <w:tcPr>
            <w:tcW w:w="152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FB5E5D" w:rsidRPr="009C26E1" w:rsidRDefault="00FB5E5D" w:rsidP="008E19CD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PSHE/P4C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FB5E5D" w:rsidRPr="009C26E1" w:rsidRDefault="00FB5E5D" w:rsidP="008E19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6E1">
              <w:rPr>
                <w:rFonts w:ascii="Arial" w:hAnsi="Arial" w:cs="Arial"/>
                <w:sz w:val="16"/>
                <w:szCs w:val="16"/>
              </w:rPr>
              <w:t>Going For Goals</w:t>
            </w:r>
          </w:p>
          <w:p w:rsidR="00FB5E5D" w:rsidRPr="009C26E1" w:rsidRDefault="00FB5E5D" w:rsidP="008E19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6E1">
              <w:rPr>
                <w:rFonts w:ascii="Arial" w:hAnsi="Arial" w:cs="Arial"/>
                <w:sz w:val="16"/>
                <w:szCs w:val="16"/>
              </w:rPr>
              <w:t>Go Global/P4C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FB5E5D" w:rsidRPr="009C26E1" w:rsidRDefault="00FB5E5D" w:rsidP="008E19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6E1">
              <w:rPr>
                <w:rFonts w:ascii="Arial" w:hAnsi="Arial" w:cs="Arial"/>
                <w:sz w:val="16"/>
                <w:szCs w:val="16"/>
              </w:rPr>
              <w:t>Good to be Me</w:t>
            </w:r>
          </w:p>
          <w:p w:rsidR="00FB5E5D" w:rsidRPr="009C26E1" w:rsidRDefault="00FB5E5D" w:rsidP="008E19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6E1">
              <w:rPr>
                <w:rFonts w:ascii="Arial" w:hAnsi="Arial" w:cs="Arial"/>
                <w:sz w:val="16"/>
                <w:szCs w:val="16"/>
              </w:rPr>
              <w:t>Go Global/P4C</w:t>
            </w:r>
          </w:p>
        </w:tc>
      </w:tr>
      <w:tr w:rsidR="00FB5E5D" w:rsidRPr="00030C88" w:rsidTr="008E19CD">
        <w:trPr>
          <w:trHeight w:val="43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B5E5D" w:rsidRPr="009C26E1" w:rsidRDefault="00FB5E5D" w:rsidP="008E19CD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Art</w:t>
            </w:r>
          </w:p>
        </w:tc>
        <w:tc>
          <w:tcPr>
            <w:tcW w:w="14317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2646D" w:rsidRDefault="0042646D" w:rsidP="0063248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Tinga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Tinga</w:t>
            </w:r>
            <w:proofErr w:type="spellEnd"/>
            <w:r w:rsidR="0063248A">
              <w:rPr>
                <w:rFonts w:ascii="Arial" w:hAnsi="Arial" w:cs="Arial"/>
                <w:sz w:val="16"/>
                <w:szCs w:val="16"/>
              </w:rPr>
              <w:t xml:space="preserve"> Art</w:t>
            </w:r>
          </w:p>
          <w:p w:rsidR="0042646D" w:rsidRPr="00030C88" w:rsidRDefault="0063248A" w:rsidP="0063248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Portraits</w:t>
            </w:r>
          </w:p>
        </w:tc>
      </w:tr>
      <w:tr w:rsidR="0063248A" w:rsidRPr="00030C88" w:rsidTr="002814FF">
        <w:trPr>
          <w:trHeight w:val="25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3248A" w:rsidRPr="009C26E1" w:rsidRDefault="0063248A" w:rsidP="008E19CD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Music</w:t>
            </w:r>
          </w:p>
        </w:tc>
        <w:tc>
          <w:tcPr>
            <w:tcW w:w="14317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3248A" w:rsidRPr="00030C88" w:rsidRDefault="0063248A" w:rsidP="006324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children will be learning songs linked to our topic ‘Towers, Tunnels and Turrets’.  They will learn songs about dragons, knights, unicorns and griffins.  Music is taught by Mrs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Eadie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on a Thursday morning.</w:t>
            </w:r>
          </w:p>
        </w:tc>
      </w:tr>
      <w:tr w:rsidR="0063248A" w:rsidRPr="00030C88" w:rsidTr="005B66C8">
        <w:tc>
          <w:tcPr>
            <w:tcW w:w="1526" w:type="dxa"/>
            <w:shd w:val="clear" w:color="auto" w:fill="D6E3BC" w:themeFill="accent3" w:themeFillTint="66"/>
            <w:vAlign w:val="center"/>
          </w:tcPr>
          <w:p w:rsidR="0063248A" w:rsidRPr="009C26E1" w:rsidRDefault="0063248A" w:rsidP="008E19CD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PE</w:t>
            </w:r>
          </w:p>
        </w:tc>
        <w:tc>
          <w:tcPr>
            <w:tcW w:w="14317" w:type="dxa"/>
            <w:gridSpan w:val="3"/>
            <w:shd w:val="clear" w:color="auto" w:fill="D6E3BC" w:themeFill="accent3" w:themeFillTint="66"/>
          </w:tcPr>
          <w:p w:rsidR="0063248A" w:rsidRDefault="0063248A" w:rsidP="006324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Gymnastics will be taught every Tuesday afternoon this term.  This will be taught by a trainer from the Beth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Tweddle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Gym Stars academy.</w:t>
            </w:r>
          </w:p>
          <w:p w:rsidR="0063248A" w:rsidRPr="00030C88" w:rsidRDefault="0063248A" w:rsidP="006324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Games will be taught on a Thursday morning by Mrs Thomas-Wade.</w:t>
            </w:r>
          </w:p>
          <w:p w:rsidR="0063248A" w:rsidRDefault="0063248A" w:rsidP="008E19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248A" w:rsidRPr="00030C88" w:rsidRDefault="0063248A" w:rsidP="004264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76823" w:rsidRDefault="00C76823" w:rsidP="00FB5E5D"/>
    <w:sectPr w:rsidR="00C76823" w:rsidSect="007A7E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F16"/>
    <w:multiLevelType w:val="hybridMultilevel"/>
    <w:tmpl w:val="89BC6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42D1"/>
    <w:multiLevelType w:val="hybridMultilevel"/>
    <w:tmpl w:val="2494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3595F"/>
    <w:multiLevelType w:val="hybridMultilevel"/>
    <w:tmpl w:val="88BC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B6D2A"/>
    <w:multiLevelType w:val="hybridMultilevel"/>
    <w:tmpl w:val="768A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5D"/>
    <w:rsid w:val="00102E8E"/>
    <w:rsid w:val="00144C44"/>
    <w:rsid w:val="002B7F18"/>
    <w:rsid w:val="003D71DA"/>
    <w:rsid w:val="0042646D"/>
    <w:rsid w:val="0063248A"/>
    <w:rsid w:val="008734CD"/>
    <w:rsid w:val="009B3B73"/>
    <w:rsid w:val="00B037F9"/>
    <w:rsid w:val="00B15CDB"/>
    <w:rsid w:val="00BF3755"/>
    <w:rsid w:val="00C76823"/>
    <w:rsid w:val="00D253BE"/>
    <w:rsid w:val="00E05214"/>
    <w:rsid w:val="00E13D73"/>
    <w:rsid w:val="00FB5E5D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clightfoot</dc:creator>
  <cp:lastModifiedBy>clightfoot</cp:lastModifiedBy>
  <cp:revision>11</cp:revision>
  <dcterms:created xsi:type="dcterms:W3CDTF">2017-12-21T09:22:00Z</dcterms:created>
  <dcterms:modified xsi:type="dcterms:W3CDTF">2018-01-11T16:08:00Z</dcterms:modified>
</cp:coreProperties>
</file>