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01" w:type="dxa"/>
        <w:tblInd w:w="-34" w:type="dxa"/>
        <w:tblLayout w:type="fixed"/>
        <w:tblLook w:val="04A0" w:firstRow="1" w:lastRow="0" w:firstColumn="1" w:lastColumn="0" w:noHBand="0" w:noVBand="1"/>
      </w:tblPr>
      <w:tblGrid>
        <w:gridCol w:w="4712"/>
        <w:gridCol w:w="2301"/>
        <w:gridCol w:w="2301"/>
        <w:gridCol w:w="2301"/>
        <w:gridCol w:w="2986"/>
      </w:tblGrid>
      <w:tr w:rsidR="00221741" w:rsidRPr="00322DCA" w14:paraId="76504C7F" w14:textId="77777777" w:rsidTr="00322DCA">
        <w:trPr>
          <w:trHeight w:val="944"/>
        </w:trPr>
        <w:tc>
          <w:tcPr>
            <w:tcW w:w="4712" w:type="dxa"/>
            <w:vAlign w:val="center"/>
          </w:tcPr>
          <w:p w14:paraId="6B7CFD63" w14:textId="77777777" w:rsidR="00221741" w:rsidRPr="00322DCA" w:rsidRDefault="00221741" w:rsidP="005751EB">
            <w:pPr>
              <w:jc w:val="center"/>
              <w:rPr>
                <w:rFonts w:asciiTheme="minorHAnsi" w:hAnsiTheme="minorHAnsi" w:cstheme="minorHAnsi"/>
                <w:b/>
                <w:bCs/>
                <w:sz w:val="28"/>
                <w:szCs w:val="28"/>
              </w:rPr>
            </w:pPr>
            <w:r w:rsidRPr="00322DCA">
              <w:rPr>
                <w:rFonts w:asciiTheme="minorHAnsi" w:hAnsiTheme="minorHAnsi" w:cstheme="minorHAnsi"/>
                <w:b/>
                <w:bCs/>
                <w:sz w:val="28"/>
                <w:szCs w:val="28"/>
              </w:rPr>
              <w:t>Early Years (%)</w:t>
            </w:r>
          </w:p>
        </w:tc>
        <w:tc>
          <w:tcPr>
            <w:tcW w:w="2301" w:type="dxa"/>
            <w:shd w:val="clear" w:color="auto" w:fill="70AE47"/>
            <w:vAlign w:val="center"/>
          </w:tcPr>
          <w:p w14:paraId="3511BB16" w14:textId="529E5C8F" w:rsidR="00221741" w:rsidRPr="00322DCA" w:rsidRDefault="00221741" w:rsidP="005751EB">
            <w:pPr>
              <w:jc w:val="center"/>
              <w:rPr>
                <w:rFonts w:asciiTheme="minorHAnsi" w:hAnsiTheme="minorHAnsi" w:cstheme="minorHAnsi"/>
                <w:b/>
                <w:bCs/>
                <w:sz w:val="28"/>
                <w:szCs w:val="28"/>
              </w:rPr>
            </w:pPr>
            <w:r w:rsidRPr="00322DCA">
              <w:rPr>
                <w:rFonts w:asciiTheme="minorHAnsi" w:hAnsiTheme="minorHAnsi" w:cstheme="minorHAnsi"/>
                <w:b/>
                <w:bCs/>
                <w:sz w:val="28"/>
                <w:szCs w:val="28"/>
              </w:rPr>
              <w:t>R</w:t>
            </w:r>
            <w:r w:rsidR="00793723">
              <w:rPr>
                <w:rFonts w:asciiTheme="minorHAnsi" w:hAnsiTheme="minorHAnsi" w:cstheme="minorHAnsi"/>
                <w:b/>
                <w:bCs/>
                <w:sz w:val="28"/>
                <w:szCs w:val="28"/>
              </w:rPr>
              <w:t>eading</w:t>
            </w:r>
          </w:p>
        </w:tc>
        <w:tc>
          <w:tcPr>
            <w:tcW w:w="2301" w:type="dxa"/>
            <w:shd w:val="clear" w:color="auto" w:fill="8064A2" w:themeFill="accent4"/>
            <w:vAlign w:val="center"/>
          </w:tcPr>
          <w:p w14:paraId="0442FD75" w14:textId="2051AC99" w:rsidR="00221741" w:rsidRPr="00322DCA" w:rsidRDefault="00221741" w:rsidP="005751EB">
            <w:pPr>
              <w:jc w:val="center"/>
              <w:rPr>
                <w:rFonts w:asciiTheme="minorHAnsi" w:hAnsiTheme="minorHAnsi" w:cstheme="minorHAnsi"/>
                <w:b/>
                <w:bCs/>
                <w:sz w:val="28"/>
                <w:szCs w:val="28"/>
              </w:rPr>
            </w:pPr>
            <w:r w:rsidRPr="00322DCA">
              <w:rPr>
                <w:rFonts w:asciiTheme="minorHAnsi" w:hAnsiTheme="minorHAnsi" w:cstheme="minorHAnsi"/>
                <w:b/>
                <w:bCs/>
                <w:sz w:val="28"/>
                <w:szCs w:val="28"/>
              </w:rPr>
              <w:t>W</w:t>
            </w:r>
            <w:r w:rsidR="00793723">
              <w:rPr>
                <w:rFonts w:asciiTheme="minorHAnsi" w:hAnsiTheme="minorHAnsi" w:cstheme="minorHAnsi"/>
                <w:b/>
                <w:bCs/>
                <w:sz w:val="28"/>
                <w:szCs w:val="28"/>
              </w:rPr>
              <w:t>riting</w:t>
            </w:r>
          </w:p>
        </w:tc>
        <w:tc>
          <w:tcPr>
            <w:tcW w:w="2301" w:type="dxa"/>
            <w:shd w:val="clear" w:color="auto" w:fill="5B9BD6"/>
            <w:vAlign w:val="center"/>
          </w:tcPr>
          <w:p w14:paraId="19022967" w14:textId="78572A78" w:rsidR="00221741" w:rsidRPr="00322DCA" w:rsidRDefault="00221741" w:rsidP="005751EB">
            <w:pPr>
              <w:jc w:val="center"/>
              <w:rPr>
                <w:rFonts w:asciiTheme="minorHAnsi" w:hAnsiTheme="minorHAnsi" w:cstheme="minorHAnsi"/>
                <w:b/>
                <w:bCs/>
                <w:sz w:val="28"/>
                <w:szCs w:val="28"/>
              </w:rPr>
            </w:pPr>
            <w:r w:rsidRPr="00322DCA">
              <w:rPr>
                <w:rFonts w:asciiTheme="minorHAnsi" w:hAnsiTheme="minorHAnsi" w:cstheme="minorHAnsi"/>
                <w:b/>
                <w:bCs/>
                <w:sz w:val="28"/>
                <w:szCs w:val="28"/>
              </w:rPr>
              <w:t>N</w:t>
            </w:r>
            <w:r w:rsidR="00793723">
              <w:rPr>
                <w:rFonts w:asciiTheme="minorHAnsi" w:hAnsiTheme="minorHAnsi" w:cstheme="minorHAnsi"/>
                <w:b/>
                <w:bCs/>
                <w:sz w:val="28"/>
                <w:szCs w:val="28"/>
              </w:rPr>
              <w:t>umber</w:t>
            </w:r>
          </w:p>
        </w:tc>
        <w:tc>
          <w:tcPr>
            <w:tcW w:w="2986" w:type="dxa"/>
            <w:shd w:val="clear" w:color="auto" w:fill="FF8AD8"/>
            <w:vAlign w:val="center"/>
          </w:tcPr>
          <w:p w14:paraId="02FB1B3B" w14:textId="371B7B28" w:rsidR="00221741" w:rsidRPr="00322DCA" w:rsidRDefault="00793723" w:rsidP="005751EB">
            <w:pPr>
              <w:jc w:val="center"/>
              <w:rPr>
                <w:rFonts w:asciiTheme="minorHAnsi" w:hAnsiTheme="minorHAnsi" w:cstheme="minorHAnsi"/>
                <w:b/>
                <w:bCs/>
                <w:sz w:val="28"/>
                <w:szCs w:val="28"/>
              </w:rPr>
            </w:pPr>
            <w:r>
              <w:rPr>
                <w:rFonts w:asciiTheme="minorHAnsi" w:hAnsiTheme="minorHAnsi" w:cstheme="minorHAnsi"/>
                <w:b/>
                <w:bCs/>
                <w:sz w:val="28"/>
                <w:szCs w:val="28"/>
              </w:rPr>
              <w:t xml:space="preserve">Overall </w:t>
            </w:r>
            <w:r w:rsidR="00221741" w:rsidRPr="00322DCA">
              <w:rPr>
                <w:rFonts w:asciiTheme="minorHAnsi" w:hAnsiTheme="minorHAnsi" w:cstheme="minorHAnsi"/>
                <w:b/>
                <w:bCs/>
                <w:sz w:val="28"/>
                <w:szCs w:val="28"/>
              </w:rPr>
              <w:t>GLD</w:t>
            </w:r>
          </w:p>
        </w:tc>
      </w:tr>
      <w:tr w:rsidR="00221741" w:rsidRPr="00322DCA" w14:paraId="675E88D9" w14:textId="77777777" w:rsidTr="00322DCA">
        <w:trPr>
          <w:trHeight w:val="400"/>
        </w:trPr>
        <w:tc>
          <w:tcPr>
            <w:tcW w:w="4712" w:type="dxa"/>
            <w:vAlign w:val="center"/>
          </w:tcPr>
          <w:p w14:paraId="01938879" w14:textId="77777777" w:rsidR="00221741" w:rsidRPr="00322DCA" w:rsidRDefault="00221741" w:rsidP="005751EB">
            <w:pPr>
              <w:jc w:val="center"/>
              <w:rPr>
                <w:rFonts w:asciiTheme="minorHAnsi" w:hAnsiTheme="minorHAnsi" w:cstheme="minorHAnsi"/>
                <w:b/>
                <w:bCs/>
                <w:sz w:val="28"/>
                <w:szCs w:val="28"/>
              </w:rPr>
            </w:pPr>
            <w:r w:rsidRPr="00322DCA">
              <w:rPr>
                <w:rFonts w:asciiTheme="minorHAnsi" w:hAnsiTheme="minorHAnsi" w:cstheme="minorHAnsi"/>
                <w:b/>
                <w:bCs/>
                <w:sz w:val="28"/>
                <w:szCs w:val="28"/>
              </w:rPr>
              <w:t>National 2019</w:t>
            </w:r>
          </w:p>
        </w:tc>
        <w:tc>
          <w:tcPr>
            <w:tcW w:w="2301" w:type="dxa"/>
            <w:vAlign w:val="center"/>
          </w:tcPr>
          <w:p w14:paraId="13E73664" w14:textId="67047C20" w:rsidR="00221741" w:rsidRPr="00322DCA" w:rsidRDefault="00793723" w:rsidP="005751EB">
            <w:pPr>
              <w:jc w:val="center"/>
              <w:rPr>
                <w:rFonts w:asciiTheme="minorHAnsi" w:hAnsiTheme="minorHAnsi" w:cstheme="minorHAnsi"/>
                <w:b/>
                <w:bCs/>
                <w:sz w:val="28"/>
                <w:szCs w:val="28"/>
              </w:rPr>
            </w:pPr>
            <w:r>
              <w:rPr>
                <w:rFonts w:asciiTheme="minorHAnsi" w:hAnsiTheme="minorHAnsi" w:cstheme="minorHAnsi"/>
                <w:b/>
                <w:bCs/>
                <w:sz w:val="28"/>
                <w:szCs w:val="28"/>
              </w:rPr>
              <w:t>77%</w:t>
            </w:r>
          </w:p>
        </w:tc>
        <w:tc>
          <w:tcPr>
            <w:tcW w:w="2301" w:type="dxa"/>
            <w:vAlign w:val="center"/>
          </w:tcPr>
          <w:p w14:paraId="281E6928" w14:textId="20F42E3B" w:rsidR="00221741" w:rsidRPr="00322DCA" w:rsidRDefault="00793723" w:rsidP="005751EB">
            <w:pPr>
              <w:jc w:val="center"/>
              <w:rPr>
                <w:rFonts w:asciiTheme="minorHAnsi" w:hAnsiTheme="minorHAnsi" w:cstheme="minorHAnsi"/>
                <w:b/>
                <w:bCs/>
                <w:sz w:val="28"/>
                <w:szCs w:val="28"/>
              </w:rPr>
            </w:pPr>
            <w:r>
              <w:rPr>
                <w:rFonts w:asciiTheme="minorHAnsi" w:hAnsiTheme="minorHAnsi" w:cstheme="minorHAnsi"/>
                <w:b/>
                <w:bCs/>
                <w:sz w:val="28"/>
                <w:szCs w:val="28"/>
              </w:rPr>
              <w:t>74%</w:t>
            </w:r>
          </w:p>
        </w:tc>
        <w:tc>
          <w:tcPr>
            <w:tcW w:w="2301" w:type="dxa"/>
            <w:vAlign w:val="center"/>
          </w:tcPr>
          <w:p w14:paraId="31B4E5CE" w14:textId="430522F9" w:rsidR="00221741" w:rsidRPr="00322DCA" w:rsidRDefault="00793723" w:rsidP="005751EB">
            <w:pPr>
              <w:jc w:val="center"/>
              <w:rPr>
                <w:rFonts w:asciiTheme="minorHAnsi" w:hAnsiTheme="minorHAnsi" w:cstheme="minorHAnsi"/>
                <w:b/>
                <w:bCs/>
                <w:sz w:val="28"/>
                <w:szCs w:val="28"/>
              </w:rPr>
            </w:pPr>
            <w:r>
              <w:rPr>
                <w:rFonts w:asciiTheme="minorHAnsi" w:hAnsiTheme="minorHAnsi" w:cstheme="minorHAnsi"/>
                <w:b/>
                <w:bCs/>
                <w:sz w:val="28"/>
                <w:szCs w:val="28"/>
              </w:rPr>
              <w:t>80%</w:t>
            </w:r>
          </w:p>
        </w:tc>
        <w:tc>
          <w:tcPr>
            <w:tcW w:w="2986" w:type="dxa"/>
            <w:vAlign w:val="center"/>
          </w:tcPr>
          <w:p w14:paraId="03E0EFDC" w14:textId="035AC1CD" w:rsidR="00221741" w:rsidRPr="00322DCA" w:rsidRDefault="00221741" w:rsidP="005751EB">
            <w:pPr>
              <w:jc w:val="center"/>
              <w:rPr>
                <w:rFonts w:asciiTheme="minorHAnsi" w:hAnsiTheme="minorHAnsi" w:cstheme="minorHAnsi"/>
                <w:b/>
                <w:bCs/>
                <w:sz w:val="28"/>
                <w:szCs w:val="28"/>
              </w:rPr>
            </w:pPr>
            <w:r w:rsidRPr="00322DCA">
              <w:rPr>
                <w:rFonts w:asciiTheme="minorHAnsi" w:hAnsiTheme="minorHAnsi" w:cstheme="minorHAnsi"/>
                <w:b/>
                <w:bCs/>
                <w:sz w:val="28"/>
                <w:szCs w:val="28"/>
              </w:rPr>
              <w:t>72</w:t>
            </w:r>
            <w:r w:rsidR="004C0CB4" w:rsidRPr="00322DCA">
              <w:rPr>
                <w:rFonts w:asciiTheme="minorHAnsi" w:hAnsiTheme="minorHAnsi" w:cstheme="minorHAnsi"/>
                <w:b/>
                <w:bCs/>
                <w:sz w:val="28"/>
                <w:szCs w:val="28"/>
              </w:rPr>
              <w:t>%</w:t>
            </w:r>
          </w:p>
        </w:tc>
      </w:tr>
      <w:tr w:rsidR="00221741" w:rsidRPr="00322DCA" w14:paraId="7513BCD7" w14:textId="77777777" w:rsidTr="00322DCA">
        <w:trPr>
          <w:trHeight w:val="400"/>
        </w:trPr>
        <w:tc>
          <w:tcPr>
            <w:tcW w:w="4712" w:type="dxa"/>
          </w:tcPr>
          <w:p w14:paraId="098C7F0B" w14:textId="77777777" w:rsidR="00221741" w:rsidRPr="00322DCA" w:rsidRDefault="00221741" w:rsidP="005751EB">
            <w:pPr>
              <w:jc w:val="center"/>
              <w:rPr>
                <w:rFonts w:asciiTheme="minorHAnsi" w:hAnsiTheme="minorHAnsi" w:cstheme="minorHAnsi"/>
                <w:b/>
                <w:bCs/>
                <w:sz w:val="28"/>
                <w:szCs w:val="28"/>
              </w:rPr>
            </w:pPr>
            <w:r w:rsidRPr="00322DCA">
              <w:rPr>
                <w:rFonts w:asciiTheme="minorHAnsi" w:hAnsiTheme="minorHAnsi" w:cstheme="minorHAnsi"/>
                <w:b/>
                <w:bCs/>
                <w:sz w:val="28"/>
                <w:szCs w:val="28"/>
              </w:rPr>
              <w:t>2021(TA)</w:t>
            </w:r>
          </w:p>
        </w:tc>
        <w:tc>
          <w:tcPr>
            <w:tcW w:w="2301" w:type="dxa"/>
            <w:vAlign w:val="center"/>
          </w:tcPr>
          <w:p w14:paraId="6DF2750D" w14:textId="77777777" w:rsidR="00221741" w:rsidRPr="00322DCA" w:rsidRDefault="00221741" w:rsidP="005751EB">
            <w:pPr>
              <w:jc w:val="center"/>
              <w:rPr>
                <w:rFonts w:asciiTheme="minorHAnsi" w:hAnsiTheme="minorHAnsi" w:cstheme="minorHAnsi"/>
                <w:b/>
                <w:bCs/>
                <w:sz w:val="28"/>
                <w:szCs w:val="28"/>
              </w:rPr>
            </w:pPr>
            <w:r w:rsidRPr="00322DCA">
              <w:rPr>
                <w:rFonts w:asciiTheme="minorHAnsi" w:hAnsiTheme="minorHAnsi" w:cstheme="minorHAnsi"/>
                <w:b/>
                <w:bCs/>
                <w:sz w:val="28"/>
                <w:szCs w:val="28"/>
              </w:rPr>
              <w:t>80%</w:t>
            </w:r>
          </w:p>
        </w:tc>
        <w:tc>
          <w:tcPr>
            <w:tcW w:w="2301" w:type="dxa"/>
            <w:vAlign w:val="center"/>
          </w:tcPr>
          <w:p w14:paraId="09816C70" w14:textId="77777777" w:rsidR="00221741" w:rsidRPr="00322DCA" w:rsidRDefault="00221741" w:rsidP="005751EB">
            <w:pPr>
              <w:jc w:val="center"/>
              <w:rPr>
                <w:rFonts w:asciiTheme="minorHAnsi" w:hAnsiTheme="minorHAnsi" w:cstheme="minorHAnsi"/>
                <w:b/>
                <w:bCs/>
                <w:sz w:val="28"/>
                <w:szCs w:val="28"/>
              </w:rPr>
            </w:pPr>
            <w:r w:rsidRPr="00322DCA">
              <w:rPr>
                <w:rFonts w:asciiTheme="minorHAnsi" w:hAnsiTheme="minorHAnsi" w:cstheme="minorHAnsi"/>
                <w:b/>
                <w:bCs/>
                <w:sz w:val="28"/>
                <w:szCs w:val="28"/>
              </w:rPr>
              <w:t>80%</w:t>
            </w:r>
          </w:p>
        </w:tc>
        <w:tc>
          <w:tcPr>
            <w:tcW w:w="2301" w:type="dxa"/>
            <w:vAlign w:val="center"/>
          </w:tcPr>
          <w:p w14:paraId="4529A9C7" w14:textId="77777777" w:rsidR="00221741" w:rsidRPr="00322DCA" w:rsidRDefault="00221741" w:rsidP="005751EB">
            <w:pPr>
              <w:jc w:val="center"/>
              <w:rPr>
                <w:rFonts w:asciiTheme="minorHAnsi" w:hAnsiTheme="minorHAnsi" w:cstheme="minorHAnsi"/>
                <w:b/>
                <w:bCs/>
                <w:sz w:val="28"/>
                <w:szCs w:val="28"/>
              </w:rPr>
            </w:pPr>
            <w:r w:rsidRPr="00322DCA">
              <w:rPr>
                <w:rFonts w:asciiTheme="minorHAnsi" w:hAnsiTheme="minorHAnsi" w:cstheme="minorHAnsi"/>
                <w:b/>
                <w:bCs/>
                <w:sz w:val="28"/>
                <w:szCs w:val="28"/>
              </w:rPr>
              <w:t>80%</w:t>
            </w:r>
          </w:p>
        </w:tc>
        <w:tc>
          <w:tcPr>
            <w:tcW w:w="2986" w:type="dxa"/>
            <w:vAlign w:val="center"/>
          </w:tcPr>
          <w:p w14:paraId="6A630DC2" w14:textId="77777777" w:rsidR="00221741" w:rsidRPr="00322DCA" w:rsidRDefault="00221741" w:rsidP="005751EB">
            <w:pPr>
              <w:jc w:val="center"/>
              <w:rPr>
                <w:rFonts w:asciiTheme="minorHAnsi" w:hAnsiTheme="minorHAnsi" w:cstheme="minorHAnsi"/>
                <w:b/>
                <w:bCs/>
                <w:sz w:val="28"/>
                <w:szCs w:val="28"/>
              </w:rPr>
            </w:pPr>
            <w:r w:rsidRPr="00322DCA">
              <w:rPr>
                <w:rFonts w:asciiTheme="minorHAnsi" w:hAnsiTheme="minorHAnsi" w:cstheme="minorHAnsi"/>
                <w:b/>
                <w:bCs/>
                <w:sz w:val="28"/>
                <w:szCs w:val="28"/>
              </w:rPr>
              <w:t>77%</w:t>
            </w:r>
          </w:p>
        </w:tc>
      </w:tr>
    </w:tbl>
    <w:p w14:paraId="0D7D4286" w14:textId="43DB8D31" w:rsidR="006E4E1C" w:rsidRPr="00322DCA" w:rsidRDefault="006E4E1C">
      <w:pPr>
        <w:rPr>
          <w:sz w:val="28"/>
          <w:szCs w:val="28"/>
        </w:rPr>
      </w:pPr>
    </w:p>
    <w:tbl>
      <w:tblPr>
        <w:tblStyle w:val="TableGrid"/>
        <w:tblW w:w="14567" w:type="dxa"/>
        <w:tblLayout w:type="fixed"/>
        <w:tblLook w:val="04A0" w:firstRow="1" w:lastRow="0" w:firstColumn="1" w:lastColumn="0" w:noHBand="0" w:noVBand="1"/>
      </w:tblPr>
      <w:tblGrid>
        <w:gridCol w:w="5425"/>
        <w:gridCol w:w="2973"/>
        <w:gridCol w:w="6169"/>
      </w:tblGrid>
      <w:tr w:rsidR="00360B39" w:rsidRPr="00322DCA" w14:paraId="394CE68A" w14:textId="77777777" w:rsidTr="00322DCA">
        <w:trPr>
          <w:trHeight w:val="583"/>
        </w:trPr>
        <w:tc>
          <w:tcPr>
            <w:tcW w:w="5425" w:type="dxa"/>
            <w:vAlign w:val="center"/>
          </w:tcPr>
          <w:p w14:paraId="0FF5C561" w14:textId="77777777" w:rsidR="00360B39" w:rsidRPr="00322DCA" w:rsidRDefault="00360B39" w:rsidP="005751EB">
            <w:pPr>
              <w:jc w:val="center"/>
              <w:rPr>
                <w:rFonts w:cs="Calibri"/>
                <w:b/>
                <w:bCs/>
                <w:sz w:val="28"/>
                <w:szCs w:val="28"/>
              </w:rPr>
            </w:pPr>
            <w:r w:rsidRPr="00322DCA">
              <w:rPr>
                <w:rFonts w:cs="Calibri"/>
                <w:b/>
                <w:bCs/>
                <w:sz w:val="28"/>
                <w:szCs w:val="28"/>
              </w:rPr>
              <w:t xml:space="preserve">Phonics </w:t>
            </w:r>
          </w:p>
          <w:p w14:paraId="62A1D8E0" w14:textId="77777777" w:rsidR="00360B39" w:rsidRPr="00322DCA" w:rsidRDefault="00360B39" w:rsidP="005751EB">
            <w:pPr>
              <w:jc w:val="center"/>
              <w:rPr>
                <w:rFonts w:cs="Calibri"/>
                <w:b/>
                <w:bCs/>
                <w:sz w:val="28"/>
                <w:szCs w:val="28"/>
              </w:rPr>
            </w:pPr>
            <w:r w:rsidRPr="00322DCA">
              <w:rPr>
                <w:rFonts w:cs="Calibri"/>
                <w:b/>
                <w:bCs/>
                <w:sz w:val="28"/>
                <w:szCs w:val="28"/>
              </w:rPr>
              <w:t>(%)</w:t>
            </w:r>
          </w:p>
        </w:tc>
        <w:tc>
          <w:tcPr>
            <w:tcW w:w="2973" w:type="dxa"/>
            <w:shd w:val="clear" w:color="auto" w:fill="C0504D" w:themeFill="accent2"/>
            <w:vAlign w:val="center"/>
          </w:tcPr>
          <w:p w14:paraId="760A03E1" w14:textId="77777777" w:rsidR="00360B39" w:rsidRPr="00322DCA" w:rsidRDefault="00360B39" w:rsidP="005751EB">
            <w:pPr>
              <w:jc w:val="center"/>
              <w:rPr>
                <w:rFonts w:cs="Calibri"/>
                <w:b/>
                <w:bCs/>
                <w:sz w:val="28"/>
                <w:szCs w:val="28"/>
              </w:rPr>
            </w:pPr>
            <w:r w:rsidRPr="00322DCA">
              <w:rPr>
                <w:rFonts w:cs="Calibri"/>
                <w:b/>
                <w:bCs/>
                <w:sz w:val="28"/>
                <w:szCs w:val="28"/>
              </w:rPr>
              <w:t>Y1</w:t>
            </w:r>
          </w:p>
        </w:tc>
        <w:tc>
          <w:tcPr>
            <w:tcW w:w="6169" w:type="dxa"/>
            <w:shd w:val="clear" w:color="auto" w:fill="C0504D" w:themeFill="accent2"/>
            <w:vAlign w:val="center"/>
          </w:tcPr>
          <w:p w14:paraId="7943CE43" w14:textId="77777777" w:rsidR="00360B39" w:rsidRPr="00322DCA" w:rsidRDefault="00360B39" w:rsidP="005751EB">
            <w:pPr>
              <w:jc w:val="center"/>
              <w:rPr>
                <w:rFonts w:cs="Calibri"/>
                <w:b/>
                <w:bCs/>
                <w:sz w:val="28"/>
                <w:szCs w:val="28"/>
              </w:rPr>
            </w:pPr>
            <w:r w:rsidRPr="00322DCA">
              <w:rPr>
                <w:rFonts w:cs="Calibri"/>
                <w:b/>
                <w:bCs/>
                <w:sz w:val="28"/>
                <w:szCs w:val="28"/>
              </w:rPr>
              <w:t>Y2</w:t>
            </w:r>
          </w:p>
        </w:tc>
      </w:tr>
      <w:tr w:rsidR="00360B39" w:rsidRPr="00322DCA" w14:paraId="4ADF2AE6" w14:textId="77777777" w:rsidTr="00322DCA">
        <w:trPr>
          <w:trHeight w:val="247"/>
        </w:trPr>
        <w:tc>
          <w:tcPr>
            <w:tcW w:w="5425" w:type="dxa"/>
            <w:vAlign w:val="center"/>
          </w:tcPr>
          <w:p w14:paraId="5634FBE5" w14:textId="77777777" w:rsidR="00360B39" w:rsidRPr="00322DCA" w:rsidRDefault="00360B39" w:rsidP="005751EB">
            <w:pPr>
              <w:jc w:val="center"/>
              <w:rPr>
                <w:rFonts w:cs="Calibri"/>
                <w:b/>
                <w:bCs/>
                <w:sz w:val="28"/>
                <w:szCs w:val="28"/>
              </w:rPr>
            </w:pPr>
            <w:r w:rsidRPr="00322DCA">
              <w:rPr>
                <w:rFonts w:cs="Calibri"/>
                <w:b/>
                <w:bCs/>
                <w:sz w:val="28"/>
                <w:szCs w:val="28"/>
              </w:rPr>
              <w:t>National 2019</w:t>
            </w:r>
          </w:p>
        </w:tc>
        <w:tc>
          <w:tcPr>
            <w:tcW w:w="2973" w:type="dxa"/>
            <w:vAlign w:val="center"/>
          </w:tcPr>
          <w:p w14:paraId="49B07022" w14:textId="77777777" w:rsidR="00360B39" w:rsidRPr="00322DCA" w:rsidRDefault="00360B39" w:rsidP="005751EB">
            <w:pPr>
              <w:jc w:val="center"/>
              <w:rPr>
                <w:rFonts w:cs="Calibri"/>
                <w:b/>
                <w:bCs/>
                <w:sz w:val="28"/>
                <w:szCs w:val="28"/>
              </w:rPr>
            </w:pPr>
            <w:r w:rsidRPr="00322DCA">
              <w:rPr>
                <w:rFonts w:cs="Calibri"/>
                <w:b/>
                <w:bCs/>
                <w:sz w:val="28"/>
                <w:szCs w:val="28"/>
              </w:rPr>
              <w:t>82</w:t>
            </w:r>
          </w:p>
        </w:tc>
        <w:tc>
          <w:tcPr>
            <w:tcW w:w="6169" w:type="dxa"/>
            <w:vAlign w:val="center"/>
          </w:tcPr>
          <w:p w14:paraId="10CAB06E" w14:textId="77777777" w:rsidR="00360B39" w:rsidRPr="00322DCA" w:rsidRDefault="00360B39" w:rsidP="005751EB">
            <w:pPr>
              <w:jc w:val="center"/>
              <w:rPr>
                <w:rFonts w:cs="Calibri"/>
                <w:b/>
                <w:bCs/>
                <w:sz w:val="28"/>
                <w:szCs w:val="28"/>
              </w:rPr>
            </w:pPr>
          </w:p>
        </w:tc>
      </w:tr>
      <w:tr w:rsidR="00360B39" w:rsidRPr="00322DCA" w14:paraId="6525E6D1" w14:textId="77777777" w:rsidTr="00322DCA">
        <w:trPr>
          <w:trHeight w:val="247"/>
        </w:trPr>
        <w:tc>
          <w:tcPr>
            <w:tcW w:w="5425" w:type="dxa"/>
          </w:tcPr>
          <w:p w14:paraId="78CD2028" w14:textId="77777777" w:rsidR="00360B39" w:rsidRPr="00322DCA" w:rsidRDefault="00360B39" w:rsidP="005751EB">
            <w:pPr>
              <w:jc w:val="center"/>
              <w:rPr>
                <w:rFonts w:cs="Calibri"/>
                <w:b/>
                <w:bCs/>
                <w:sz w:val="28"/>
                <w:szCs w:val="28"/>
              </w:rPr>
            </w:pPr>
            <w:r w:rsidRPr="00322DCA">
              <w:rPr>
                <w:rFonts w:cs="Calibri"/>
                <w:b/>
                <w:bCs/>
                <w:sz w:val="28"/>
                <w:szCs w:val="28"/>
              </w:rPr>
              <w:t>2021 (TA)</w:t>
            </w:r>
          </w:p>
        </w:tc>
        <w:tc>
          <w:tcPr>
            <w:tcW w:w="2973" w:type="dxa"/>
            <w:vAlign w:val="center"/>
          </w:tcPr>
          <w:p w14:paraId="70579238" w14:textId="77777777" w:rsidR="00360B39" w:rsidRPr="00322DCA" w:rsidRDefault="00360B39" w:rsidP="005751EB">
            <w:pPr>
              <w:jc w:val="center"/>
              <w:rPr>
                <w:rFonts w:cs="Calibri"/>
                <w:b/>
                <w:bCs/>
                <w:sz w:val="28"/>
                <w:szCs w:val="28"/>
              </w:rPr>
            </w:pPr>
            <w:r w:rsidRPr="00322DCA">
              <w:rPr>
                <w:rFonts w:cs="Calibri"/>
                <w:b/>
                <w:bCs/>
                <w:sz w:val="28"/>
                <w:szCs w:val="28"/>
              </w:rPr>
              <w:t>-</w:t>
            </w:r>
          </w:p>
        </w:tc>
        <w:tc>
          <w:tcPr>
            <w:tcW w:w="6169" w:type="dxa"/>
            <w:vAlign w:val="center"/>
          </w:tcPr>
          <w:p w14:paraId="6A915990" w14:textId="77777777" w:rsidR="00360B39" w:rsidRPr="00322DCA" w:rsidRDefault="00360B39" w:rsidP="005751EB">
            <w:pPr>
              <w:jc w:val="center"/>
              <w:rPr>
                <w:rFonts w:cs="Calibri"/>
                <w:b/>
                <w:bCs/>
                <w:sz w:val="28"/>
                <w:szCs w:val="28"/>
              </w:rPr>
            </w:pPr>
            <w:r w:rsidRPr="00322DCA">
              <w:rPr>
                <w:rFonts w:cs="Calibri"/>
                <w:b/>
                <w:bCs/>
                <w:sz w:val="28"/>
                <w:szCs w:val="28"/>
              </w:rPr>
              <w:t>93%</w:t>
            </w:r>
          </w:p>
        </w:tc>
      </w:tr>
    </w:tbl>
    <w:p w14:paraId="58C46325" w14:textId="011C7430" w:rsidR="00360B39" w:rsidRDefault="00360B39"/>
    <w:tbl>
      <w:tblPr>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761"/>
        <w:gridCol w:w="2588"/>
        <w:gridCol w:w="2761"/>
      </w:tblGrid>
      <w:tr w:rsidR="001F1E06" w:rsidRPr="006A6F15" w14:paraId="6A04DAC6" w14:textId="77777777" w:rsidTr="005751EB">
        <w:trPr>
          <w:trHeight w:val="790"/>
        </w:trPr>
        <w:tc>
          <w:tcPr>
            <w:tcW w:w="6517" w:type="dxa"/>
            <w:tcBorders>
              <w:bottom w:val="single" w:sz="4" w:space="0" w:color="auto"/>
            </w:tcBorders>
            <w:shd w:val="clear" w:color="auto" w:fill="auto"/>
          </w:tcPr>
          <w:p w14:paraId="4B55168F" w14:textId="344F7903" w:rsidR="001F1E06" w:rsidRPr="001F1E06" w:rsidRDefault="005F1D08" w:rsidP="00322DCA">
            <w:pPr>
              <w:jc w:val="center"/>
              <w:rPr>
                <w:b/>
                <w:sz w:val="28"/>
                <w:szCs w:val="28"/>
              </w:rPr>
            </w:pPr>
            <w:r>
              <w:rPr>
                <w:b/>
                <w:sz w:val="28"/>
                <w:szCs w:val="28"/>
              </w:rPr>
              <w:t xml:space="preserve">KS1 SATs (Teacher Assessed </w:t>
            </w:r>
            <w:r w:rsidR="00322DCA">
              <w:rPr>
                <w:b/>
                <w:sz w:val="28"/>
                <w:szCs w:val="28"/>
              </w:rPr>
              <w:t xml:space="preserve">using 2019 SAT Papers </w:t>
            </w:r>
            <w:r>
              <w:rPr>
                <w:b/>
                <w:sz w:val="28"/>
                <w:szCs w:val="28"/>
              </w:rPr>
              <w:t>in exam conditions)</w:t>
            </w:r>
          </w:p>
        </w:tc>
        <w:tc>
          <w:tcPr>
            <w:tcW w:w="2761" w:type="dxa"/>
            <w:tcBorders>
              <w:bottom w:val="single" w:sz="4" w:space="0" w:color="auto"/>
            </w:tcBorders>
            <w:shd w:val="clear" w:color="auto" w:fill="auto"/>
          </w:tcPr>
          <w:p w14:paraId="1A4F469D" w14:textId="77777777" w:rsidR="001F1E06" w:rsidRPr="001F1E06" w:rsidRDefault="001F1E06" w:rsidP="005751EB">
            <w:pPr>
              <w:jc w:val="center"/>
              <w:rPr>
                <w:b/>
                <w:sz w:val="28"/>
                <w:szCs w:val="28"/>
              </w:rPr>
            </w:pPr>
            <w:r w:rsidRPr="001F1E06">
              <w:rPr>
                <w:b/>
                <w:sz w:val="28"/>
                <w:szCs w:val="28"/>
              </w:rPr>
              <w:t>READING</w:t>
            </w:r>
          </w:p>
        </w:tc>
        <w:tc>
          <w:tcPr>
            <w:tcW w:w="2588" w:type="dxa"/>
            <w:tcBorders>
              <w:bottom w:val="single" w:sz="4" w:space="0" w:color="auto"/>
            </w:tcBorders>
            <w:shd w:val="clear" w:color="auto" w:fill="auto"/>
          </w:tcPr>
          <w:p w14:paraId="6E54C6A1" w14:textId="77777777" w:rsidR="001F1E06" w:rsidRPr="001F1E06" w:rsidRDefault="001F1E06" w:rsidP="005751EB">
            <w:pPr>
              <w:jc w:val="center"/>
              <w:rPr>
                <w:b/>
                <w:sz w:val="28"/>
                <w:szCs w:val="28"/>
              </w:rPr>
            </w:pPr>
            <w:r w:rsidRPr="001F1E06">
              <w:rPr>
                <w:b/>
                <w:sz w:val="28"/>
                <w:szCs w:val="28"/>
              </w:rPr>
              <w:t>WRITING</w:t>
            </w:r>
          </w:p>
        </w:tc>
        <w:tc>
          <w:tcPr>
            <w:tcW w:w="2761" w:type="dxa"/>
            <w:tcBorders>
              <w:bottom w:val="single" w:sz="4" w:space="0" w:color="auto"/>
            </w:tcBorders>
            <w:shd w:val="clear" w:color="auto" w:fill="auto"/>
          </w:tcPr>
          <w:p w14:paraId="45550746" w14:textId="77777777" w:rsidR="001F1E06" w:rsidRPr="001F1E06" w:rsidRDefault="001F1E06" w:rsidP="005751EB">
            <w:pPr>
              <w:jc w:val="center"/>
              <w:rPr>
                <w:b/>
                <w:sz w:val="28"/>
                <w:szCs w:val="28"/>
              </w:rPr>
            </w:pPr>
            <w:r w:rsidRPr="001F1E06">
              <w:rPr>
                <w:b/>
                <w:sz w:val="28"/>
                <w:szCs w:val="28"/>
              </w:rPr>
              <w:t>MATHS</w:t>
            </w:r>
          </w:p>
        </w:tc>
      </w:tr>
      <w:tr w:rsidR="001F1E06" w:rsidRPr="006A6F15" w14:paraId="73E321AF" w14:textId="77777777" w:rsidTr="001F1E06">
        <w:trPr>
          <w:trHeight w:val="568"/>
        </w:trPr>
        <w:tc>
          <w:tcPr>
            <w:tcW w:w="6517" w:type="dxa"/>
            <w:shd w:val="clear" w:color="auto" w:fill="DBE5F1"/>
          </w:tcPr>
          <w:p w14:paraId="5749CFAB" w14:textId="7B841B64" w:rsidR="001F1E06" w:rsidRPr="001F1E06" w:rsidRDefault="001F1E06" w:rsidP="005751EB">
            <w:pPr>
              <w:jc w:val="center"/>
              <w:rPr>
                <w:b/>
                <w:sz w:val="28"/>
                <w:szCs w:val="28"/>
              </w:rPr>
            </w:pPr>
            <w:r w:rsidRPr="001F1E06">
              <w:rPr>
                <w:b/>
                <w:sz w:val="28"/>
                <w:szCs w:val="28"/>
              </w:rPr>
              <w:t>Mobberley expected standard or above</w:t>
            </w:r>
            <w:r w:rsidR="00322DCA">
              <w:rPr>
                <w:b/>
                <w:sz w:val="28"/>
                <w:szCs w:val="28"/>
              </w:rPr>
              <w:t>*</w:t>
            </w:r>
          </w:p>
        </w:tc>
        <w:tc>
          <w:tcPr>
            <w:tcW w:w="2761" w:type="dxa"/>
            <w:shd w:val="clear" w:color="auto" w:fill="DBE5F1"/>
          </w:tcPr>
          <w:p w14:paraId="45B0C8FC" w14:textId="1C2E1405" w:rsidR="001F1E06" w:rsidRPr="001F1E06" w:rsidRDefault="005F1D08" w:rsidP="005751EB">
            <w:pPr>
              <w:jc w:val="center"/>
              <w:rPr>
                <w:b/>
                <w:sz w:val="28"/>
                <w:szCs w:val="28"/>
              </w:rPr>
            </w:pPr>
            <w:r>
              <w:rPr>
                <w:b/>
                <w:sz w:val="28"/>
                <w:szCs w:val="28"/>
              </w:rPr>
              <w:t>73</w:t>
            </w:r>
            <w:r w:rsidR="001F1E06" w:rsidRPr="001F1E06">
              <w:rPr>
                <w:b/>
                <w:sz w:val="28"/>
                <w:szCs w:val="28"/>
              </w:rPr>
              <w:t>%</w:t>
            </w:r>
          </w:p>
        </w:tc>
        <w:tc>
          <w:tcPr>
            <w:tcW w:w="2588" w:type="dxa"/>
            <w:shd w:val="clear" w:color="auto" w:fill="DBE5F1"/>
          </w:tcPr>
          <w:p w14:paraId="71A6AB21" w14:textId="7E777B7F" w:rsidR="001F1E06" w:rsidRPr="001F1E06" w:rsidRDefault="005F1D08" w:rsidP="001F1E06">
            <w:pPr>
              <w:jc w:val="center"/>
              <w:rPr>
                <w:b/>
                <w:sz w:val="28"/>
                <w:szCs w:val="28"/>
              </w:rPr>
            </w:pPr>
            <w:r>
              <w:rPr>
                <w:b/>
                <w:sz w:val="28"/>
                <w:szCs w:val="28"/>
              </w:rPr>
              <w:t>66</w:t>
            </w:r>
            <w:r w:rsidR="001F1E06" w:rsidRPr="001F1E06">
              <w:rPr>
                <w:b/>
                <w:sz w:val="28"/>
                <w:szCs w:val="28"/>
              </w:rPr>
              <w:t>%</w:t>
            </w:r>
          </w:p>
        </w:tc>
        <w:tc>
          <w:tcPr>
            <w:tcW w:w="2761" w:type="dxa"/>
            <w:shd w:val="clear" w:color="auto" w:fill="DBE5F1"/>
          </w:tcPr>
          <w:p w14:paraId="21FFF83E" w14:textId="7A342CC9" w:rsidR="001F1E06" w:rsidRPr="001F1E06" w:rsidRDefault="005F1D08" w:rsidP="005751EB">
            <w:pPr>
              <w:jc w:val="center"/>
              <w:rPr>
                <w:b/>
                <w:sz w:val="28"/>
                <w:szCs w:val="28"/>
              </w:rPr>
            </w:pPr>
            <w:r>
              <w:rPr>
                <w:b/>
                <w:sz w:val="28"/>
                <w:szCs w:val="28"/>
              </w:rPr>
              <w:t>76</w:t>
            </w:r>
            <w:r w:rsidR="001F1E06" w:rsidRPr="001F1E06">
              <w:rPr>
                <w:b/>
                <w:sz w:val="28"/>
                <w:szCs w:val="28"/>
              </w:rPr>
              <w:t>%</w:t>
            </w:r>
          </w:p>
        </w:tc>
      </w:tr>
      <w:tr w:rsidR="001F1E06" w:rsidRPr="006A6F15" w14:paraId="71EF22B4" w14:textId="77777777" w:rsidTr="001F1E06">
        <w:trPr>
          <w:trHeight w:val="649"/>
        </w:trPr>
        <w:tc>
          <w:tcPr>
            <w:tcW w:w="6517" w:type="dxa"/>
            <w:tcBorders>
              <w:bottom w:val="single" w:sz="4" w:space="0" w:color="auto"/>
            </w:tcBorders>
            <w:shd w:val="clear" w:color="auto" w:fill="auto"/>
          </w:tcPr>
          <w:p w14:paraId="6B903B7F" w14:textId="77777777" w:rsidR="001F1E06" w:rsidRPr="001F1E06" w:rsidRDefault="001F1E06" w:rsidP="005751EB">
            <w:pPr>
              <w:jc w:val="center"/>
              <w:rPr>
                <w:b/>
                <w:sz w:val="28"/>
                <w:szCs w:val="28"/>
              </w:rPr>
            </w:pPr>
            <w:r w:rsidRPr="001F1E06">
              <w:rPr>
                <w:b/>
                <w:sz w:val="28"/>
                <w:szCs w:val="28"/>
              </w:rPr>
              <w:t>National expected standard or above 2019</w:t>
            </w:r>
          </w:p>
        </w:tc>
        <w:tc>
          <w:tcPr>
            <w:tcW w:w="2761" w:type="dxa"/>
            <w:tcBorders>
              <w:bottom w:val="single" w:sz="4" w:space="0" w:color="auto"/>
            </w:tcBorders>
            <w:shd w:val="clear" w:color="auto" w:fill="auto"/>
          </w:tcPr>
          <w:p w14:paraId="174759F8" w14:textId="77777777" w:rsidR="001F1E06" w:rsidRPr="001F1E06" w:rsidRDefault="001F1E06" w:rsidP="005751EB">
            <w:pPr>
              <w:jc w:val="center"/>
              <w:rPr>
                <w:b/>
                <w:sz w:val="28"/>
                <w:szCs w:val="28"/>
              </w:rPr>
            </w:pPr>
            <w:r w:rsidRPr="001F1E06">
              <w:rPr>
                <w:b/>
                <w:sz w:val="28"/>
                <w:szCs w:val="28"/>
              </w:rPr>
              <w:t>75%</w:t>
            </w:r>
          </w:p>
        </w:tc>
        <w:tc>
          <w:tcPr>
            <w:tcW w:w="2588" w:type="dxa"/>
            <w:tcBorders>
              <w:bottom w:val="single" w:sz="4" w:space="0" w:color="auto"/>
            </w:tcBorders>
            <w:shd w:val="clear" w:color="auto" w:fill="auto"/>
          </w:tcPr>
          <w:p w14:paraId="2753490D" w14:textId="77777777" w:rsidR="001F1E06" w:rsidRPr="001F1E06" w:rsidRDefault="001F1E06" w:rsidP="005751EB">
            <w:pPr>
              <w:jc w:val="center"/>
              <w:rPr>
                <w:b/>
                <w:sz w:val="28"/>
                <w:szCs w:val="28"/>
              </w:rPr>
            </w:pPr>
            <w:r w:rsidRPr="001F1E06">
              <w:rPr>
                <w:b/>
                <w:sz w:val="28"/>
                <w:szCs w:val="28"/>
              </w:rPr>
              <w:t>69%</w:t>
            </w:r>
          </w:p>
        </w:tc>
        <w:tc>
          <w:tcPr>
            <w:tcW w:w="2761" w:type="dxa"/>
            <w:tcBorders>
              <w:bottom w:val="single" w:sz="4" w:space="0" w:color="auto"/>
            </w:tcBorders>
            <w:shd w:val="clear" w:color="auto" w:fill="auto"/>
          </w:tcPr>
          <w:p w14:paraId="412635EA" w14:textId="77777777" w:rsidR="001F1E06" w:rsidRPr="001F1E06" w:rsidRDefault="001F1E06" w:rsidP="005751EB">
            <w:pPr>
              <w:jc w:val="center"/>
              <w:rPr>
                <w:b/>
                <w:sz w:val="28"/>
                <w:szCs w:val="28"/>
              </w:rPr>
            </w:pPr>
            <w:r w:rsidRPr="001F1E06">
              <w:rPr>
                <w:b/>
                <w:sz w:val="28"/>
                <w:szCs w:val="28"/>
              </w:rPr>
              <w:t>76%</w:t>
            </w:r>
          </w:p>
        </w:tc>
      </w:tr>
      <w:tr w:rsidR="001F1E06" w:rsidRPr="006A6F15" w14:paraId="024C995D" w14:textId="77777777" w:rsidTr="001F1E06">
        <w:trPr>
          <w:trHeight w:val="573"/>
        </w:trPr>
        <w:tc>
          <w:tcPr>
            <w:tcW w:w="6517" w:type="dxa"/>
            <w:shd w:val="clear" w:color="auto" w:fill="DBE5F1"/>
          </w:tcPr>
          <w:p w14:paraId="7E134547" w14:textId="161BB295" w:rsidR="001F1E06" w:rsidRPr="001F1E06" w:rsidRDefault="001F1E06" w:rsidP="005751EB">
            <w:pPr>
              <w:jc w:val="center"/>
              <w:rPr>
                <w:b/>
                <w:sz w:val="28"/>
                <w:szCs w:val="28"/>
              </w:rPr>
            </w:pPr>
            <w:r w:rsidRPr="001F1E06">
              <w:rPr>
                <w:b/>
                <w:sz w:val="28"/>
                <w:szCs w:val="28"/>
              </w:rPr>
              <w:t>Mobberley Greater Depth</w:t>
            </w:r>
            <w:r w:rsidR="00322DCA">
              <w:rPr>
                <w:b/>
                <w:sz w:val="28"/>
                <w:szCs w:val="28"/>
              </w:rPr>
              <w:t>*</w:t>
            </w:r>
            <w:r w:rsidRPr="001F1E06">
              <w:rPr>
                <w:b/>
                <w:sz w:val="28"/>
                <w:szCs w:val="28"/>
              </w:rPr>
              <w:t xml:space="preserve"> </w:t>
            </w:r>
          </w:p>
        </w:tc>
        <w:tc>
          <w:tcPr>
            <w:tcW w:w="2761" w:type="dxa"/>
            <w:shd w:val="clear" w:color="auto" w:fill="DBE5F1"/>
          </w:tcPr>
          <w:p w14:paraId="2797662D" w14:textId="5E731158" w:rsidR="001F1E06" w:rsidRPr="001F1E06" w:rsidRDefault="00286947" w:rsidP="001F1E06">
            <w:pPr>
              <w:jc w:val="center"/>
              <w:rPr>
                <w:b/>
                <w:sz w:val="28"/>
                <w:szCs w:val="28"/>
              </w:rPr>
            </w:pPr>
            <w:r>
              <w:rPr>
                <w:b/>
                <w:sz w:val="28"/>
                <w:szCs w:val="28"/>
              </w:rPr>
              <w:t>14</w:t>
            </w:r>
            <w:r w:rsidR="001F1E06" w:rsidRPr="001F1E06">
              <w:rPr>
                <w:b/>
                <w:sz w:val="28"/>
                <w:szCs w:val="28"/>
              </w:rPr>
              <w:t>%</w:t>
            </w:r>
          </w:p>
        </w:tc>
        <w:tc>
          <w:tcPr>
            <w:tcW w:w="2588" w:type="dxa"/>
            <w:shd w:val="clear" w:color="auto" w:fill="DBE5F1"/>
          </w:tcPr>
          <w:p w14:paraId="50037034" w14:textId="7F6D5347" w:rsidR="001F1E06" w:rsidRPr="001F1E06" w:rsidRDefault="00286947" w:rsidP="001F1E06">
            <w:pPr>
              <w:jc w:val="center"/>
              <w:rPr>
                <w:b/>
                <w:sz w:val="28"/>
                <w:szCs w:val="28"/>
              </w:rPr>
            </w:pPr>
            <w:r>
              <w:rPr>
                <w:b/>
                <w:sz w:val="28"/>
                <w:szCs w:val="28"/>
              </w:rPr>
              <w:t>7</w:t>
            </w:r>
            <w:r w:rsidR="001F1E06" w:rsidRPr="001F1E06">
              <w:rPr>
                <w:b/>
                <w:sz w:val="28"/>
                <w:szCs w:val="28"/>
              </w:rPr>
              <w:t>%</w:t>
            </w:r>
          </w:p>
        </w:tc>
        <w:tc>
          <w:tcPr>
            <w:tcW w:w="2761" w:type="dxa"/>
            <w:shd w:val="clear" w:color="auto" w:fill="DBE5F1"/>
          </w:tcPr>
          <w:p w14:paraId="6FC20BD3" w14:textId="24019701" w:rsidR="001F1E06" w:rsidRPr="001F1E06" w:rsidRDefault="00286947" w:rsidP="001F1E06">
            <w:pPr>
              <w:jc w:val="center"/>
              <w:rPr>
                <w:b/>
                <w:sz w:val="28"/>
                <w:szCs w:val="28"/>
              </w:rPr>
            </w:pPr>
            <w:r>
              <w:rPr>
                <w:b/>
                <w:sz w:val="28"/>
                <w:szCs w:val="28"/>
              </w:rPr>
              <w:t>10</w:t>
            </w:r>
            <w:r w:rsidR="001F1E06" w:rsidRPr="001F1E06">
              <w:rPr>
                <w:b/>
                <w:sz w:val="28"/>
                <w:szCs w:val="28"/>
              </w:rPr>
              <w:t>%</w:t>
            </w:r>
          </w:p>
        </w:tc>
      </w:tr>
      <w:tr w:rsidR="001F1E06" w:rsidRPr="006A6F15" w14:paraId="752B122A" w14:textId="77777777" w:rsidTr="001F1E06">
        <w:trPr>
          <w:trHeight w:val="525"/>
        </w:trPr>
        <w:tc>
          <w:tcPr>
            <w:tcW w:w="6517" w:type="dxa"/>
            <w:shd w:val="clear" w:color="auto" w:fill="auto"/>
          </w:tcPr>
          <w:p w14:paraId="4FA43410" w14:textId="77777777" w:rsidR="001F1E06" w:rsidRPr="001F1E06" w:rsidRDefault="001F1E06" w:rsidP="005751EB">
            <w:pPr>
              <w:jc w:val="center"/>
              <w:rPr>
                <w:b/>
                <w:sz w:val="28"/>
                <w:szCs w:val="28"/>
              </w:rPr>
            </w:pPr>
            <w:r w:rsidRPr="001F1E06">
              <w:rPr>
                <w:b/>
                <w:sz w:val="28"/>
                <w:szCs w:val="28"/>
              </w:rPr>
              <w:t>Greater Depth National 2019</w:t>
            </w:r>
          </w:p>
        </w:tc>
        <w:tc>
          <w:tcPr>
            <w:tcW w:w="2761" w:type="dxa"/>
            <w:shd w:val="clear" w:color="auto" w:fill="auto"/>
          </w:tcPr>
          <w:p w14:paraId="696E3B41" w14:textId="77777777" w:rsidR="001F1E06" w:rsidRPr="001F1E06" w:rsidRDefault="001F1E06" w:rsidP="005751EB">
            <w:pPr>
              <w:jc w:val="center"/>
              <w:rPr>
                <w:b/>
                <w:sz w:val="28"/>
                <w:szCs w:val="28"/>
              </w:rPr>
            </w:pPr>
            <w:r w:rsidRPr="001F1E06">
              <w:rPr>
                <w:b/>
                <w:sz w:val="28"/>
                <w:szCs w:val="28"/>
              </w:rPr>
              <w:t>25%</w:t>
            </w:r>
          </w:p>
        </w:tc>
        <w:tc>
          <w:tcPr>
            <w:tcW w:w="2588" w:type="dxa"/>
            <w:shd w:val="clear" w:color="auto" w:fill="auto"/>
          </w:tcPr>
          <w:p w14:paraId="44E41D9B" w14:textId="77777777" w:rsidR="001F1E06" w:rsidRPr="001F1E06" w:rsidRDefault="001F1E06" w:rsidP="005751EB">
            <w:pPr>
              <w:jc w:val="center"/>
              <w:rPr>
                <w:b/>
                <w:sz w:val="28"/>
                <w:szCs w:val="28"/>
              </w:rPr>
            </w:pPr>
            <w:r w:rsidRPr="001F1E06">
              <w:rPr>
                <w:b/>
                <w:sz w:val="28"/>
                <w:szCs w:val="28"/>
              </w:rPr>
              <w:t>15%</w:t>
            </w:r>
          </w:p>
        </w:tc>
        <w:tc>
          <w:tcPr>
            <w:tcW w:w="2761" w:type="dxa"/>
            <w:shd w:val="clear" w:color="auto" w:fill="auto"/>
          </w:tcPr>
          <w:p w14:paraId="7E5099D9" w14:textId="77777777" w:rsidR="001F1E06" w:rsidRPr="001F1E06" w:rsidRDefault="001F1E06" w:rsidP="005751EB">
            <w:pPr>
              <w:jc w:val="center"/>
              <w:rPr>
                <w:b/>
                <w:sz w:val="28"/>
                <w:szCs w:val="28"/>
              </w:rPr>
            </w:pPr>
            <w:r w:rsidRPr="001F1E06">
              <w:rPr>
                <w:b/>
                <w:sz w:val="28"/>
                <w:szCs w:val="28"/>
              </w:rPr>
              <w:t>22%</w:t>
            </w:r>
          </w:p>
        </w:tc>
      </w:tr>
    </w:tbl>
    <w:p w14:paraId="3BA1FE93" w14:textId="3F9EBD4B" w:rsidR="00360B39" w:rsidRPr="005F1D08" w:rsidRDefault="005F1D08" w:rsidP="005F1D08">
      <w:pPr>
        <w:pStyle w:val="ListParagraph"/>
        <w:jc w:val="center"/>
        <w:rPr>
          <w:sz w:val="24"/>
          <w:szCs w:val="24"/>
        </w:rPr>
      </w:pPr>
      <w:bookmarkStart w:id="0" w:name="_Hlk88518025"/>
      <w:r w:rsidRPr="005F1D08">
        <w:rPr>
          <w:sz w:val="24"/>
          <w:szCs w:val="24"/>
        </w:rPr>
        <w:t>(</w:t>
      </w:r>
      <w:r w:rsidR="00322DCA">
        <w:rPr>
          <w:sz w:val="24"/>
          <w:szCs w:val="24"/>
        </w:rPr>
        <w:t>*</w:t>
      </w:r>
      <w:r w:rsidRPr="005F1D08">
        <w:rPr>
          <w:sz w:val="24"/>
          <w:szCs w:val="24"/>
        </w:rPr>
        <w:t>One pupil did not sit exams. Each child = 4%)</w:t>
      </w:r>
    </w:p>
    <w:bookmarkEnd w:id="0"/>
    <w:p w14:paraId="58D4EC16" w14:textId="1AC7B32A" w:rsidR="00360B39" w:rsidRDefault="00360B39"/>
    <w:tbl>
      <w:tblPr>
        <w:tblpPr w:leftFromText="180" w:rightFromText="180" w:vertAnchor="page" w:horzAnchor="margin" w:tblpY="1396"/>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948"/>
        <w:gridCol w:w="3118"/>
        <w:gridCol w:w="2835"/>
      </w:tblGrid>
      <w:tr w:rsidR="00793723" w:rsidRPr="006A6F15" w14:paraId="39D6FEBF" w14:textId="77777777" w:rsidTr="00793723">
        <w:trPr>
          <w:trHeight w:val="1408"/>
        </w:trPr>
        <w:tc>
          <w:tcPr>
            <w:tcW w:w="4957" w:type="dxa"/>
            <w:tcBorders>
              <w:bottom w:val="single" w:sz="4" w:space="0" w:color="auto"/>
            </w:tcBorders>
            <w:shd w:val="clear" w:color="auto" w:fill="auto"/>
          </w:tcPr>
          <w:p w14:paraId="5AA48431" w14:textId="184317AE" w:rsidR="00793723" w:rsidRPr="00F77537" w:rsidRDefault="00793723" w:rsidP="00322DCA">
            <w:pPr>
              <w:jc w:val="center"/>
              <w:rPr>
                <w:b/>
                <w:sz w:val="28"/>
                <w:szCs w:val="28"/>
              </w:rPr>
            </w:pPr>
            <w:r w:rsidRPr="00F77537">
              <w:rPr>
                <w:b/>
                <w:sz w:val="28"/>
                <w:szCs w:val="28"/>
              </w:rPr>
              <w:lastRenderedPageBreak/>
              <w:t xml:space="preserve">KS2 SATS </w:t>
            </w:r>
          </w:p>
          <w:p w14:paraId="74703AB1" w14:textId="77777777" w:rsidR="00793723" w:rsidRPr="00F77537" w:rsidRDefault="00793723" w:rsidP="00322DCA">
            <w:pPr>
              <w:jc w:val="center"/>
              <w:rPr>
                <w:b/>
                <w:sz w:val="28"/>
                <w:szCs w:val="28"/>
              </w:rPr>
            </w:pPr>
            <w:r w:rsidRPr="00F77537">
              <w:rPr>
                <w:b/>
                <w:sz w:val="28"/>
                <w:szCs w:val="28"/>
              </w:rPr>
              <w:t>(Teacher Assessed using 2019 papers in full exam conditions)</w:t>
            </w:r>
          </w:p>
        </w:tc>
        <w:tc>
          <w:tcPr>
            <w:tcW w:w="2948" w:type="dxa"/>
            <w:tcBorders>
              <w:bottom w:val="single" w:sz="4" w:space="0" w:color="auto"/>
            </w:tcBorders>
            <w:shd w:val="clear" w:color="auto" w:fill="auto"/>
          </w:tcPr>
          <w:p w14:paraId="108891EA" w14:textId="77777777" w:rsidR="00793723" w:rsidRPr="00F77537" w:rsidRDefault="00793723" w:rsidP="00322DCA">
            <w:pPr>
              <w:jc w:val="center"/>
              <w:rPr>
                <w:b/>
                <w:sz w:val="28"/>
                <w:szCs w:val="28"/>
              </w:rPr>
            </w:pPr>
            <w:r w:rsidRPr="00F77537">
              <w:rPr>
                <w:b/>
                <w:sz w:val="28"/>
                <w:szCs w:val="28"/>
              </w:rPr>
              <w:t>READING</w:t>
            </w:r>
          </w:p>
        </w:tc>
        <w:tc>
          <w:tcPr>
            <w:tcW w:w="3118" w:type="dxa"/>
            <w:tcBorders>
              <w:bottom w:val="single" w:sz="4" w:space="0" w:color="auto"/>
            </w:tcBorders>
            <w:shd w:val="clear" w:color="auto" w:fill="auto"/>
          </w:tcPr>
          <w:p w14:paraId="625269FD" w14:textId="77777777" w:rsidR="00793723" w:rsidRPr="00F77537" w:rsidRDefault="00793723" w:rsidP="00322DCA">
            <w:pPr>
              <w:jc w:val="center"/>
              <w:rPr>
                <w:b/>
                <w:sz w:val="28"/>
                <w:szCs w:val="28"/>
              </w:rPr>
            </w:pPr>
            <w:r w:rsidRPr="00F77537">
              <w:rPr>
                <w:b/>
                <w:sz w:val="28"/>
                <w:szCs w:val="28"/>
              </w:rPr>
              <w:t>WRITING</w:t>
            </w:r>
          </w:p>
        </w:tc>
        <w:tc>
          <w:tcPr>
            <w:tcW w:w="2835" w:type="dxa"/>
            <w:tcBorders>
              <w:bottom w:val="single" w:sz="4" w:space="0" w:color="auto"/>
            </w:tcBorders>
            <w:shd w:val="clear" w:color="auto" w:fill="auto"/>
          </w:tcPr>
          <w:p w14:paraId="0EB900A8" w14:textId="77777777" w:rsidR="00793723" w:rsidRPr="00F77537" w:rsidRDefault="00793723" w:rsidP="00322DCA">
            <w:pPr>
              <w:jc w:val="center"/>
              <w:rPr>
                <w:b/>
                <w:sz w:val="28"/>
                <w:szCs w:val="28"/>
              </w:rPr>
            </w:pPr>
            <w:r w:rsidRPr="00F77537">
              <w:rPr>
                <w:b/>
                <w:sz w:val="28"/>
                <w:szCs w:val="28"/>
              </w:rPr>
              <w:t>MATHS</w:t>
            </w:r>
          </w:p>
        </w:tc>
      </w:tr>
      <w:tr w:rsidR="00793723" w:rsidRPr="006A6F15" w14:paraId="4632765B" w14:textId="77777777" w:rsidTr="00793723">
        <w:trPr>
          <w:trHeight w:val="724"/>
        </w:trPr>
        <w:tc>
          <w:tcPr>
            <w:tcW w:w="4957" w:type="dxa"/>
            <w:shd w:val="clear" w:color="auto" w:fill="DBE5F1"/>
          </w:tcPr>
          <w:p w14:paraId="07F7B809" w14:textId="7068F69D" w:rsidR="00793723" w:rsidRPr="00F77537" w:rsidRDefault="00793723" w:rsidP="00322DCA">
            <w:pPr>
              <w:jc w:val="center"/>
              <w:rPr>
                <w:b/>
                <w:sz w:val="28"/>
                <w:szCs w:val="28"/>
              </w:rPr>
            </w:pPr>
            <w:r w:rsidRPr="00F77537">
              <w:rPr>
                <w:b/>
                <w:sz w:val="28"/>
                <w:szCs w:val="28"/>
              </w:rPr>
              <w:t xml:space="preserve"> Mobberley expected standard or above*</w:t>
            </w:r>
          </w:p>
        </w:tc>
        <w:tc>
          <w:tcPr>
            <w:tcW w:w="2948" w:type="dxa"/>
            <w:shd w:val="clear" w:color="auto" w:fill="DBE5F1"/>
          </w:tcPr>
          <w:p w14:paraId="7365CDE8" w14:textId="2F1AF585" w:rsidR="00793723" w:rsidRPr="00F77537" w:rsidRDefault="00793723" w:rsidP="00322DCA">
            <w:pPr>
              <w:jc w:val="center"/>
              <w:rPr>
                <w:b/>
                <w:sz w:val="28"/>
                <w:szCs w:val="28"/>
              </w:rPr>
            </w:pPr>
            <w:r w:rsidRPr="00F77537">
              <w:rPr>
                <w:b/>
                <w:sz w:val="28"/>
                <w:szCs w:val="28"/>
              </w:rPr>
              <w:t>88%</w:t>
            </w:r>
          </w:p>
        </w:tc>
        <w:tc>
          <w:tcPr>
            <w:tcW w:w="3118" w:type="dxa"/>
            <w:shd w:val="clear" w:color="auto" w:fill="DBE5F1"/>
          </w:tcPr>
          <w:p w14:paraId="4776FFA0" w14:textId="7E5EFAE7" w:rsidR="00793723" w:rsidRPr="00F77537" w:rsidRDefault="00793723" w:rsidP="00322DCA">
            <w:pPr>
              <w:jc w:val="center"/>
              <w:rPr>
                <w:b/>
                <w:sz w:val="28"/>
                <w:szCs w:val="28"/>
              </w:rPr>
            </w:pPr>
            <w:r w:rsidRPr="00F77537">
              <w:rPr>
                <w:b/>
                <w:sz w:val="28"/>
                <w:szCs w:val="28"/>
              </w:rPr>
              <w:t>80%</w:t>
            </w:r>
          </w:p>
        </w:tc>
        <w:tc>
          <w:tcPr>
            <w:tcW w:w="2835" w:type="dxa"/>
            <w:shd w:val="clear" w:color="auto" w:fill="DBE5F1"/>
          </w:tcPr>
          <w:p w14:paraId="27BDC615" w14:textId="7D3BE8CD" w:rsidR="00793723" w:rsidRPr="00F77537" w:rsidRDefault="00793723" w:rsidP="00322DCA">
            <w:pPr>
              <w:jc w:val="center"/>
              <w:rPr>
                <w:b/>
                <w:sz w:val="28"/>
                <w:szCs w:val="28"/>
              </w:rPr>
            </w:pPr>
            <w:r w:rsidRPr="00F77537">
              <w:rPr>
                <w:b/>
                <w:sz w:val="28"/>
                <w:szCs w:val="28"/>
              </w:rPr>
              <w:t>84%</w:t>
            </w:r>
          </w:p>
        </w:tc>
      </w:tr>
      <w:tr w:rsidR="00793723" w:rsidRPr="006A6F15" w14:paraId="2C725AC7" w14:textId="77777777" w:rsidTr="00793723">
        <w:trPr>
          <w:trHeight w:val="705"/>
        </w:trPr>
        <w:tc>
          <w:tcPr>
            <w:tcW w:w="4957" w:type="dxa"/>
            <w:shd w:val="clear" w:color="auto" w:fill="auto"/>
          </w:tcPr>
          <w:p w14:paraId="18F3670A" w14:textId="77777777" w:rsidR="00793723" w:rsidRPr="00F77537" w:rsidRDefault="00793723" w:rsidP="00322DCA">
            <w:pPr>
              <w:jc w:val="center"/>
              <w:rPr>
                <w:b/>
                <w:sz w:val="28"/>
                <w:szCs w:val="28"/>
              </w:rPr>
            </w:pPr>
            <w:r w:rsidRPr="00F77537">
              <w:rPr>
                <w:b/>
                <w:sz w:val="28"/>
                <w:szCs w:val="28"/>
              </w:rPr>
              <w:t>National expected standard or above 2019</w:t>
            </w:r>
          </w:p>
        </w:tc>
        <w:tc>
          <w:tcPr>
            <w:tcW w:w="2948" w:type="dxa"/>
            <w:shd w:val="clear" w:color="auto" w:fill="auto"/>
          </w:tcPr>
          <w:p w14:paraId="4CC4A646" w14:textId="77777777" w:rsidR="00793723" w:rsidRPr="00F77537" w:rsidRDefault="00793723" w:rsidP="00322DCA">
            <w:pPr>
              <w:jc w:val="center"/>
              <w:rPr>
                <w:b/>
                <w:sz w:val="28"/>
                <w:szCs w:val="28"/>
              </w:rPr>
            </w:pPr>
            <w:r w:rsidRPr="00F77537">
              <w:rPr>
                <w:b/>
                <w:sz w:val="28"/>
                <w:szCs w:val="28"/>
              </w:rPr>
              <w:t>73%</w:t>
            </w:r>
          </w:p>
        </w:tc>
        <w:tc>
          <w:tcPr>
            <w:tcW w:w="3118" w:type="dxa"/>
            <w:shd w:val="clear" w:color="auto" w:fill="auto"/>
          </w:tcPr>
          <w:p w14:paraId="2F2BBBC0" w14:textId="77777777" w:rsidR="00793723" w:rsidRPr="00F77537" w:rsidRDefault="00793723" w:rsidP="00322DCA">
            <w:pPr>
              <w:jc w:val="center"/>
              <w:rPr>
                <w:b/>
                <w:sz w:val="28"/>
                <w:szCs w:val="28"/>
              </w:rPr>
            </w:pPr>
            <w:r w:rsidRPr="00F77537">
              <w:rPr>
                <w:b/>
                <w:sz w:val="28"/>
                <w:szCs w:val="28"/>
              </w:rPr>
              <w:t>78%</w:t>
            </w:r>
          </w:p>
        </w:tc>
        <w:tc>
          <w:tcPr>
            <w:tcW w:w="2835" w:type="dxa"/>
            <w:shd w:val="clear" w:color="auto" w:fill="auto"/>
          </w:tcPr>
          <w:p w14:paraId="3BCE72F1" w14:textId="77777777" w:rsidR="00793723" w:rsidRPr="00F77537" w:rsidRDefault="00793723" w:rsidP="00322DCA">
            <w:pPr>
              <w:jc w:val="center"/>
              <w:rPr>
                <w:b/>
                <w:sz w:val="28"/>
                <w:szCs w:val="28"/>
              </w:rPr>
            </w:pPr>
            <w:r w:rsidRPr="00F77537">
              <w:rPr>
                <w:b/>
                <w:sz w:val="28"/>
                <w:szCs w:val="28"/>
              </w:rPr>
              <w:t>79%</w:t>
            </w:r>
          </w:p>
        </w:tc>
      </w:tr>
      <w:tr w:rsidR="00793723" w:rsidRPr="006A6F15" w14:paraId="10D99DFE" w14:textId="77777777" w:rsidTr="00793723">
        <w:trPr>
          <w:trHeight w:val="691"/>
        </w:trPr>
        <w:tc>
          <w:tcPr>
            <w:tcW w:w="4957" w:type="dxa"/>
            <w:shd w:val="clear" w:color="auto" w:fill="DBE5F1"/>
          </w:tcPr>
          <w:p w14:paraId="3A1161BB" w14:textId="05C9D608" w:rsidR="00793723" w:rsidRPr="00F77537" w:rsidRDefault="00793723" w:rsidP="00322DCA">
            <w:pPr>
              <w:jc w:val="center"/>
              <w:rPr>
                <w:b/>
                <w:sz w:val="28"/>
                <w:szCs w:val="28"/>
              </w:rPr>
            </w:pPr>
            <w:r w:rsidRPr="00F77537">
              <w:rPr>
                <w:b/>
                <w:sz w:val="28"/>
                <w:szCs w:val="28"/>
              </w:rPr>
              <w:t xml:space="preserve"> Mobberley Greater Depth *</w:t>
            </w:r>
          </w:p>
        </w:tc>
        <w:tc>
          <w:tcPr>
            <w:tcW w:w="2948" w:type="dxa"/>
            <w:shd w:val="clear" w:color="auto" w:fill="DBE5F1"/>
          </w:tcPr>
          <w:p w14:paraId="47DF09D1" w14:textId="77777777" w:rsidR="00793723" w:rsidRPr="00F77537" w:rsidRDefault="00793723" w:rsidP="00322DCA">
            <w:pPr>
              <w:jc w:val="center"/>
              <w:rPr>
                <w:b/>
                <w:sz w:val="28"/>
                <w:szCs w:val="28"/>
              </w:rPr>
            </w:pPr>
            <w:r w:rsidRPr="00F77537">
              <w:rPr>
                <w:b/>
                <w:sz w:val="28"/>
                <w:szCs w:val="28"/>
              </w:rPr>
              <w:t>38%</w:t>
            </w:r>
          </w:p>
        </w:tc>
        <w:tc>
          <w:tcPr>
            <w:tcW w:w="3118" w:type="dxa"/>
            <w:shd w:val="clear" w:color="auto" w:fill="DBE5F1"/>
          </w:tcPr>
          <w:p w14:paraId="52886A52" w14:textId="77777777" w:rsidR="00793723" w:rsidRPr="00F77537" w:rsidRDefault="00793723" w:rsidP="00322DCA">
            <w:pPr>
              <w:jc w:val="center"/>
              <w:rPr>
                <w:b/>
                <w:sz w:val="28"/>
                <w:szCs w:val="28"/>
              </w:rPr>
            </w:pPr>
            <w:r w:rsidRPr="00F77537">
              <w:rPr>
                <w:b/>
                <w:sz w:val="28"/>
                <w:szCs w:val="28"/>
              </w:rPr>
              <w:t>8%</w:t>
            </w:r>
          </w:p>
        </w:tc>
        <w:tc>
          <w:tcPr>
            <w:tcW w:w="2835" w:type="dxa"/>
            <w:shd w:val="clear" w:color="auto" w:fill="DBE5F1"/>
          </w:tcPr>
          <w:p w14:paraId="5663ABFF" w14:textId="77777777" w:rsidR="00793723" w:rsidRPr="00F77537" w:rsidRDefault="00793723" w:rsidP="00322DCA">
            <w:pPr>
              <w:jc w:val="center"/>
              <w:rPr>
                <w:b/>
                <w:sz w:val="28"/>
                <w:szCs w:val="28"/>
              </w:rPr>
            </w:pPr>
            <w:r w:rsidRPr="00F77537">
              <w:rPr>
                <w:b/>
                <w:sz w:val="28"/>
                <w:szCs w:val="28"/>
              </w:rPr>
              <w:t>17%</w:t>
            </w:r>
          </w:p>
        </w:tc>
      </w:tr>
      <w:tr w:rsidR="00793723" w:rsidRPr="006A6F15" w14:paraId="0147137F" w14:textId="77777777" w:rsidTr="00793723">
        <w:trPr>
          <w:trHeight w:val="560"/>
        </w:trPr>
        <w:tc>
          <w:tcPr>
            <w:tcW w:w="4957" w:type="dxa"/>
            <w:shd w:val="clear" w:color="auto" w:fill="auto"/>
          </w:tcPr>
          <w:p w14:paraId="078EE0FC" w14:textId="77777777" w:rsidR="00793723" w:rsidRPr="00F77537" w:rsidRDefault="00793723" w:rsidP="00322DCA">
            <w:pPr>
              <w:jc w:val="center"/>
              <w:rPr>
                <w:b/>
                <w:sz w:val="28"/>
                <w:szCs w:val="28"/>
              </w:rPr>
            </w:pPr>
            <w:r w:rsidRPr="00F77537">
              <w:rPr>
                <w:b/>
                <w:sz w:val="28"/>
                <w:szCs w:val="28"/>
              </w:rPr>
              <w:t>Greater Depth National 2019</w:t>
            </w:r>
          </w:p>
        </w:tc>
        <w:tc>
          <w:tcPr>
            <w:tcW w:w="2948" w:type="dxa"/>
            <w:shd w:val="clear" w:color="auto" w:fill="auto"/>
          </w:tcPr>
          <w:p w14:paraId="0F59D082" w14:textId="77777777" w:rsidR="00793723" w:rsidRPr="00F77537" w:rsidRDefault="00793723" w:rsidP="00322DCA">
            <w:pPr>
              <w:jc w:val="center"/>
              <w:rPr>
                <w:b/>
                <w:sz w:val="28"/>
                <w:szCs w:val="28"/>
              </w:rPr>
            </w:pPr>
            <w:r w:rsidRPr="00F77537">
              <w:rPr>
                <w:b/>
                <w:sz w:val="28"/>
                <w:szCs w:val="28"/>
              </w:rPr>
              <w:t>27%</w:t>
            </w:r>
          </w:p>
        </w:tc>
        <w:tc>
          <w:tcPr>
            <w:tcW w:w="3118" w:type="dxa"/>
            <w:shd w:val="clear" w:color="auto" w:fill="auto"/>
          </w:tcPr>
          <w:p w14:paraId="03A0BE1B" w14:textId="77777777" w:rsidR="00793723" w:rsidRPr="00F77537" w:rsidRDefault="00793723" w:rsidP="00322DCA">
            <w:pPr>
              <w:jc w:val="center"/>
              <w:rPr>
                <w:b/>
                <w:sz w:val="28"/>
                <w:szCs w:val="28"/>
              </w:rPr>
            </w:pPr>
            <w:r w:rsidRPr="00F77537">
              <w:rPr>
                <w:b/>
                <w:sz w:val="28"/>
                <w:szCs w:val="28"/>
              </w:rPr>
              <w:t>20%</w:t>
            </w:r>
          </w:p>
        </w:tc>
        <w:tc>
          <w:tcPr>
            <w:tcW w:w="2835" w:type="dxa"/>
            <w:shd w:val="clear" w:color="auto" w:fill="auto"/>
          </w:tcPr>
          <w:p w14:paraId="48A9D219" w14:textId="77777777" w:rsidR="00793723" w:rsidRPr="00F77537" w:rsidRDefault="00793723" w:rsidP="00322DCA">
            <w:pPr>
              <w:jc w:val="center"/>
              <w:rPr>
                <w:b/>
                <w:sz w:val="28"/>
                <w:szCs w:val="28"/>
              </w:rPr>
            </w:pPr>
            <w:r w:rsidRPr="00F77537">
              <w:rPr>
                <w:b/>
                <w:sz w:val="28"/>
                <w:szCs w:val="28"/>
              </w:rPr>
              <w:t>27%</w:t>
            </w:r>
          </w:p>
        </w:tc>
      </w:tr>
    </w:tbl>
    <w:p w14:paraId="5DF9C4A1" w14:textId="77777777" w:rsidR="00322DCA" w:rsidRDefault="00322DCA" w:rsidP="00322DCA">
      <w:pPr>
        <w:pStyle w:val="ListParagraph"/>
        <w:jc w:val="center"/>
        <w:rPr>
          <w:sz w:val="28"/>
          <w:szCs w:val="28"/>
        </w:rPr>
      </w:pPr>
      <w:r w:rsidRPr="00322DCA">
        <w:rPr>
          <w:sz w:val="28"/>
          <w:szCs w:val="28"/>
        </w:rPr>
        <w:t>(*One pupil did not sit exams. Each child = 4%)</w:t>
      </w:r>
    </w:p>
    <w:p w14:paraId="4DE95CDA" w14:textId="77777777" w:rsidR="00793723" w:rsidRDefault="00793723" w:rsidP="00322DCA">
      <w:pPr>
        <w:pStyle w:val="ListParagraph"/>
        <w:jc w:val="center"/>
        <w:rPr>
          <w:sz w:val="28"/>
          <w:szCs w:val="28"/>
        </w:rPr>
      </w:pPr>
    </w:p>
    <w:p w14:paraId="57D37CE9" w14:textId="551FD3AE" w:rsidR="00793723" w:rsidRDefault="00793723" w:rsidP="00793723">
      <w:pPr>
        <w:pStyle w:val="ListParagraph"/>
        <w:rPr>
          <w:sz w:val="28"/>
          <w:szCs w:val="28"/>
        </w:rPr>
      </w:pPr>
      <w:r w:rsidRPr="00793723">
        <w:rPr>
          <w:b/>
          <w:sz w:val="28"/>
          <w:szCs w:val="28"/>
        </w:rPr>
        <w:t>Commentary:</w:t>
      </w:r>
      <w:r>
        <w:rPr>
          <w:sz w:val="28"/>
          <w:szCs w:val="28"/>
        </w:rPr>
        <w:t xml:space="preserve"> The cohorts who were assessed across the school in the academic year 2020-21 have faced unprecedented disruption to their learning with the equivalent to one whole term at home during the second national lockdown. Therefore, only two terms actually in school. No national comparisons are available for 2020 or 2021 results so the last measure we have is the National 2019 results which reflect a fully uninterrupted year. We feel these results are robust and reflect very favourably, even when compared to 2019.  </w:t>
      </w:r>
      <w:r w:rsidR="007319A9">
        <w:rPr>
          <w:sz w:val="28"/>
          <w:szCs w:val="28"/>
        </w:rPr>
        <w:t>We feel this is testament to the provision during lockdown (including ‘live’ teaching) and the quality of ‘catch up’ tuition during the summer term.</w:t>
      </w:r>
    </w:p>
    <w:p w14:paraId="7511010A" w14:textId="77777777" w:rsidR="001F1E06" w:rsidRDefault="001F1E06">
      <w:bookmarkStart w:id="1" w:name="_GoBack"/>
      <w:bookmarkEnd w:id="1"/>
    </w:p>
    <w:sectPr w:rsidR="001F1E06" w:rsidSect="00F406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662DD"/>
    <w:multiLevelType w:val="hybridMultilevel"/>
    <w:tmpl w:val="008C3AA4"/>
    <w:lvl w:ilvl="0" w:tplc="26A016EE">
      <w:start w:val="201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CE"/>
    <w:rsid w:val="001F1E06"/>
    <w:rsid w:val="00221741"/>
    <w:rsid w:val="00286947"/>
    <w:rsid w:val="00322DCA"/>
    <w:rsid w:val="00360B39"/>
    <w:rsid w:val="004C0CB4"/>
    <w:rsid w:val="005F1D08"/>
    <w:rsid w:val="006E4E1C"/>
    <w:rsid w:val="007319A9"/>
    <w:rsid w:val="00790E20"/>
    <w:rsid w:val="00793723"/>
    <w:rsid w:val="009F7641"/>
    <w:rsid w:val="00A96890"/>
    <w:rsid w:val="00CC1CCF"/>
    <w:rsid w:val="00F406CE"/>
    <w:rsid w:val="00F656A3"/>
    <w:rsid w:val="00F7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79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79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sch8753157</dc:creator>
  <cp:lastModifiedBy>sch8753157</cp:lastModifiedBy>
  <cp:revision>10</cp:revision>
  <dcterms:created xsi:type="dcterms:W3CDTF">2021-11-22T15:16:00Z</dcterms:created>
  <dcterms:modified xsi:type="dcterms:W3CDTF">2021-12-09T11:57:00Z</dcterms:modified>
</cp:coreProperties>
</file>