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359F0508" w:rsidR="00262114" w:rsidRDefault="00267F85" w:rsidP="00267F85">
      <w:pPr>
        <w:pStyle w:val="Logos"/>
        <w:tabs>
          <w:tab w:val="left" w:pos="12191"/>
        </w:tabs>
      </w:pPr>
      <w:bookmarkStart w:id="0" w:name="_Toc433976553"/>
      <w:r>
        <w:tab/>
      </w:r>
    </w:p>
    <w:bookmarkEnd w:id="0"/>
    <w:p w14:paraId="19E44B0D" w14:textId="39333737" w:rsidR="00262114" w:rsidRPr="00262114" w:rsidRDefault="00267F85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762523">
        <w:rPr>
          <w:rFonts w:ascii="Arial" w:hAnsi="Arial" w:cs="Arial"/>
          <w:b/>
          <w:color w:val="104F75"/>
          <w:sz w:val="36"/>
          <w:szCs w:val="36"/>
        </w:rPr>
        <w:t>Mobberley C of E</w:t>
      </w:r>
      <w:r w:rsidR="004D0A96">
        <w:rPr>
          <w:rFonts w:ascii="Arial" w:hAnsi="Arial" w:cs="Arial"/>
          <w:b/>
          <w:color w:val="104F75"/>
          <w:sz w:val="36"/>
          <w:szCs w:val="36"/>
        </w:rPr>
        <w:t xml:space="preserve">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11BA217B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A7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78F00BA" w:rsidR="00C14FAE" w:rsidRPr="00B80272" w:rsidRDefault="00762523" w:rsidP="00CF2513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Mobberley C of 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A7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40B32DA" w:rsidR="00C14FAE" w:rsidRPr="000457FC" w:rsidRDefault="003248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  <w:r w:rsidR="0019769C" w:rsidRPr="000457FC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-21</w:t>
            </w:r>
          </w:p>
        </w:tc>
        <w:tc>
          <w:tcPr>
            <w:tcW w:w="3632" w:type="dxa"/>
          </w:tcPr>
          <w:p w14:paraId="4C60C5C0" w14:textId="626CC8F1" w:rsidR="00C14FAE" w:rsidRPr="00F970BA" w:rsidRDefault="00C14FAE" w:rsidP="00A75F19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21E6CBE0" w:rsidR="00C14FAE" w:rsidRPr="00F970BA" w:rsidRDefault="0032482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0C4633">
              <w:rPr>
                <w:rFonts w:ascii="Arial" w:hAnsi="Arial" w:cs="Arial"/>
              </w:rPr>
              <w:t>25,555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A75F19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A7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19B991B2" w:rsidR="00C14FAE" w:rsidRPr="00B80272" w:rsidRDefault="00324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632" w:type="dxa"/>
          </w:tcPr>
          <w:p w14:paraId="7431BF7C" w14:textId="0556D86F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6E5091CF" w:rsidR="00C14FAE" w:rsidRPr="00B80272" w:rsidRDefault="00324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5864EB0F" w:rsidR="00C14FAE" w:rsidRPr="00B80272" w:rsidRDefault="00324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2021</w:t>
            </w:r>
          </w:p>
        </w:tc>
      </w:tr>
    </w:tbl>
    <w:p w14:paraId="1EA326D4" w14:textId="4824A46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13"/>
        <w:gridCol w:w="2410"/>
        <w:gridCol w:w="2410"/>
        <w:gridCol w:w="1984"/>
      </w:tblGrid>
      <w:tr w:rsidR="00B80272" w:rsidRPr="00B80272" w14:paraId="73F56B20" w14:textId="77777777" w:rsidTr="00267F8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21AD13A6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456B59">
              <w:rPr>
                <w:rFonts w:ascii="Arial" w:eastAsia="Arial" w:hAnsi="Arial" w:cs="Arial"/>
                <w:b/>
              </w:rPr>
              <w:t xml:space="preserve">(Post Lockdown Closure </w:t>
            </w:r>
            <w:r w:rsidR="00EC5FE5">
              <w:rPr>
                <w:rFonts w:ascii="Arial" w:eastAsia="Arial" w:hAnsi="Arial" w:cs="Arial"/>
                <w:b/>
              </w:rPr>
              <w:t xml:space="preserve">and Summer term recovery </w:t>
            </w:r>
            <w:r w:rsidR="00456B59">
              <w:rPr>
                <w:rFonts w:ascii="Arial" w:eastAsia="Arial" w:hAnsi="Arial" w:cs="Arial"/>
                <w:b/>
              </w:rPr>
              <w:t xml:space="preserve">- </w:t>
            </w:r>
            <w:r w:rsidR="0032482E">
              <w:rPr>
                <w:rFonts w:ascii="Arial" w:eastAsia="Arial" w:hAnsi="Arial" w:cs="Arial"/>
                <w:b/>
              </w:rPr>
              <w:t>July 20)</w:t>
            </w:r>
          </w:p>
        </w:tc>
      </w:tr>
      <w:tr w:rsidR="0032482E" w:rsidRPr="00B80272" w14:paraId="1282EE40" w14:textId="77777777" w:rsidTr="0032482E">
        <w:tc>
          <w:tcPr>
            <w:tcW w:w="8613" w:type="dxa"/>
            <w:tcMar>
              <w:top w:w="57" w:type="dxa"/>
              <w:bottom w:w="57" w:type="dxa"/>
            </w:tcMar>
          </w:tcPr>
          <w:p w14:paraId="291BA5E2" w14:textId="16AE9E95" w:rsidR="0032482E" w:rsidRPr="0031195C" w:rsidRDefault="0032482E" w:rsidP="00D2104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05BEF8D6" w:rsidR="0032482E" w:rsidRPr="00B80272" w:rsidRDefault="001D0B07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Broadly In Line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96373D" w14:textId="0A5CEA69" w:rsidR="0032482E" w:rsidRPr="00B80272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Slightly Behind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B3C46A" w14:textId="29996842" w:rsidR="0032482E" w:rsidRPr="00B80272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Significantly Behind</w:t>
            </w:r>
          </w:p>
        </w:tc>
      </w:tr>
      <w:tr w:rsidR="0032482E" w:rsidRPr="00B80272" w14:paraId="7B7D4FA5" w14:textId="77777777" w:rsidTr="0032482E">
        <w:tc>
          <w:tcPr>
            <w:tcW w:w="8613" w:type="dxa"/>
            <w:tcMar>
              <w:top w:w="57" w:type="dxa"/>
              <w:bottom w:w="57" w:type="dxa"/>
            </w:tcMar>
          </w:tcPr>
          <w:p w14:paraId="3D349EF6" w14:textId="560E7DC9" w:rsidR="0032482E" w:rsidRDefault="001D0B07" w:rsidP="00D2104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EYFS (4 </w:t>
            </w:r>
            <w:r w:rsidR="00A47C06">
              <w:rPr>
                <w:rFonts w:ascii="Arial" w:hAnsi="Arial" w:cs="Arial"/>
                <w:b/>
              </w:rPr>
              <w:t xml:space="preserve">PP </w:t>
            </w:r>
            <w:r>
              <w:rPr>
                <w:rFonts w:ascii="Arial" w:hAnsi="Arial" w:cs="Arial"/>
                <w:b/>
              </w:rPr>
              <w:t>pupils)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6C328BF" w14:textId="2D782356" w:rsidR="0032482E" w:rsidRPr="00B80272" w:rsidRDefault="001D0B07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  <w:r w:rsidR="00456B59"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9AB3D6" w14:textId="477FAB70" w:rsidR="0032482E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      All=</w:t>
            </w:r>
            <w:r w:rsidR="00456B5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FEF803" w14:textId="5530A0EB" w:rsidR="0032482E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  <w:r w:rsidR="00456B5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2482E" w:rsidRPr="00B80272" w14:paraId="7CFB10D7" w14:textId="77777777" w:rsidTr="0032482E">
        <w:tc>
          <w:tcPr>
            <w:tcW w:w="8613" w:type="dxa"/>
            <w:tcMar>
              <w:top w:w="57" w:type="dxa"/>
              <w:bottom w:w="57" w:type="dxa"/>
            </w:tcMar>
          </w:tcPr>
          <w:p w14:paraId="6FA08A35" w14:textId="424120B9" w:rsidR="0032482E" w:rsidRDefault="001D0B07" w:rsidP="00D2104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KS1 (5 </w:t>
            </w:r>
            <w:r w:rsidR="00A47C06">
              <w:rPr>
                <w:rFonts w:ascii="Arial" w:hAnsi="Arial" w:cs="Arial"/>
                <w:b/>
              </w:rPr>
              <w:t xml:space="preserve">PP </w:t>
            </w:r>
            <w:r>
              <w:rPr>
                <w:rFonts w:ascii="Arial" w:hAnsi="Arial" w:cs="Arial"/>
                <w:b/>
              </w:rPr>
              <w:t>pupils)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CE2F3E8" w14:textId="00B69D79" w:rsidR="0032482E" w:rsidRPr="00B80272" w:rsidRDefault="001D0B07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44B096" w14:textId="36F3CE93" w:rsidR="0032482E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B417A0" w14:textId="4248B25F" w:rsidR="0032482E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</w:p>
        </w:tc>
      </w:tr>
      <w:tr w:rsidR="001D0B07" w:rsidRPr="00B80272" w14:paraId="55B45C52" w14:textId="77777777" w:rsidTr="0032482E">
        <w:tc>
          <w:tcPr>
            <w:tcW w:w="8613" w:type="dxa"/>
            <w:tcMar>
              <w:top w:w="57" w:type="dxa"/>
              <w:bottom w:w="57" w:type="dxa"/>
            </w:tcMar>
          </w:tcPr>
          <w:p w14:paraId="4EFE3DE6" w14:textId="04FC62D6" w:rsidR="001D0B07" w:rsidRDefault="001D0B07" w:rsidP="00D2104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KS2 (10 </w:t>
            </w:r>
            <w:r w:rsidR="00A47C06">
              <w:rPr>
                <w:rFonts w:ascii="Arial" w:hAnsi="Arial" w:cs="Arial"/>
                <w:b/>
              </w:rPr>
              <w:t xml:space="preserve">PP </w:t>
            </w:r>
            <w:r>
              <w:rPr>
                <w:rFonts w:ascii="Arial" w:hAnsi="Arial" w:cs="Arial"/>
                <w:b/>
              </w:rPr>
              <w:t>pupils)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A997D79" w14:textId="31D19F98" w:rsidR="001D0B07" w:rsidRPr="00B80272" w:rsidRDefault="001D0B07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  <w:r w:rsidR="00A47C06">
              <w:rPr>
                <w:rFonts w:ascii="Arial" w:hAnsi="Arial" w:cs="Arial"/>
                <w:i/>
                <w:sz w:val="18"/>
                <w:szCs w:val="18"/>
              </w:rPr>
              <w:t>62</w:t>
            </w:r>
          </w:p>
        </w:tc>
        <w:tc>
          <w:tcPr>
            <w:tcW w:w="24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D6F3810" w14:textId="616864E9" w:rsidR="001D0B07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  <w:r w:rsidR="00A47C06"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C6A4FC" w14:textId="7CF42F2F" w:rsidR="001D0B07" w:rsidRDefault="001D0B07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PP=</w:t>
            </w:r>
            <w:r w:rsidR="00072572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All=</w:t>
            </w:r>
            <w:r w:rsidR="00A47C06">
              <w:rPr>
                <w:rFonts w:ascii="Arial" w:hAnsi="Arial" w:cs="Arial"/>
                <w:i/>
                <w:sz w:val="18"/>
                <w:szCs w:val="18"/>
              </w:rPr>
              <w:t>19</w:t>
            </w:r>
          </w:p>
        </w:tc>
      </w:tr>
    </w:tbl>
    <w:p w14:paraId="64B1EC9B" w14:textId="3E5EFF6F" w:rsidR="00B80272" w:rsidRDefault="00B80272">
      <w:pPr>
        <w:rPr>
          <w:rFonts w:ascii="Arial" w:hAnsi="Arial" w:cs="Arial"/>
          <w:sz w:val="16"/>
          <w:szCs w:val="16"/>
        </w:rPr>
      </w:pPr>
    </w:p>
    <w:p w14:paraId="777535EA" w14:textId="5DBE60DF" w:rsidR="007F0B6D" w:rsidRDefault="007F0B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Commentary on Main Issues:</w:t>
      </w:r>
    </w:p>
    <w:p w14:paraId="66A25C19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7DB4224A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029470B7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13B4CB50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19E883B3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1512BF1D" w14:textId="77777777" w:rsidR="007F0B6D" w:rsidRDefault="007F0B6D">
      <w:pPr>
        <w:rPr>
          <w:rFonts w:ascii="Arial" w:hAnsi="Arial" w:cs="Arial"/>
          <w:sz w:val="16"/>
          <w:szCs w:val="16"/>
        </w:rPr>
      </w:pPr>
    </w:p>
    <w:p w14:paraId="0B3A7C47" w14:textId="77777777" w:rsidR="007F0B6D" w:rsidRPr="00A33F73" w:rsidRDefault="007F0B6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5D7A242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F2AC614" w:rsidR="00915380" w:rsidRPr="00AE78F2" w:rsidRDefault="006E72A9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Lack of confidence with number and its application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36246C25" w:rsidR="00915380" w:rsidRPr="00AE78F2" w:rsidRDefault="006E72A9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oral and written language</w:t>
            </w:r>
            <w:r w:rsidR="00403B4D">
              <w:rPr>
                <w:rFonts w:ascii="Arial" w:hAnsi="Arial" w:cs="Arial"/>
                <w:sz w:val="18"/>
                <w:szCs w:val="18"/>
              </w:rPr>
              <w:t xml:space="preserve"> on entry and throughout KS1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2E558A6E" w:rsidR="00915380" w:rsidRPr="002954A6" w:rsidRDefault="006E72A9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than expected levels of engagement with reading</w:t>
            </w:r>
            <w:r w:rsidR="00403B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0CC80D8A" w:rsidR="00915380" w:rsidRPr="002954A6" w:rsidRDefault="001E264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Disruption to education through poverty, over-crowding,</w:t>
            </w:r>
            <w:r w:rsidR="007F0B6D">
              <w:rPr>
                <w:rFonts w:ascii="Arial" w:hAnsi="Arial" w:cs="Arial"/>
                <w:sz w:val="18"/>
                <w:szCs w:val="18"/>
              </w:rPr>
              <w:t xml:space="preserve"> family circumstances, </w:t>
            </w:r>
            <w:r>
              <w:rPr>
                <w:rFonts w:ascii="Arial" w:hAnsi="Arial" w:cs="Arial"/>
                <w:sz w:val="18"/>
                <w:szCs w:val="18"/>
              </w:rPr>
              <w:t>family changes – impacting on home-school engagement, attendance and learning.</w:t>
            </w:r>
          </w:p>
        </w:tc>
      </w:tr>
      <w:tr w:rsidR="00CF011B" w:rsidRPr="002954A6" w14:paraId="223B8C6A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1C69DA0" w14:textId="7F7ECED1" w:rsidR="00CF011B" w:rsidRPr="002954A6" w:rsidRDefault="00CF011B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2"/>
          </w:tcPr>
          <w:p w14:paraId="0B99B182" w14:textId="204E614A" w:rsidR="00CF011B" w:rsidRDefault="001E264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opportunities for educational engagement</w:t>
            </w:r>
            <w:r w:rsidR="00403B4D">
              <w:rPr>
                <w:rFonts w:ascii="Arial" w:hAnsi="Arial" w:cs="Arial"/>
                <w:sz w:val="18"/>
                <w:szCs w:val="18"/>
              </w:rPr>
              <w:t xml:space="preserve"> beyond school times – impacting upon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levels of curiosity, motivation and general knowledge.</w:t>
            </w:r>
          </w:p>
        </w:tc>
      </w:tr>
      <w:tr w:rsidR="007F0B6D" w:rsidRPr="002954A6" w14:paraId="0F965E17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A01552" w14:textId="16A44684" w:rsidR="007F0B6D" w:rsidRDefault="007F0B6D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  <w:gridSpan w:val="2"/>
          </w:tcPr>
          <w:p w14:paraId="1F5EB6C5" w14:textId="261CBE6E" w:rsidR="007F0B6D" w:rsidRDefault="007F0B6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mis</w:t>
            </w:r>
            <w:r w:rsidR="00C2425C">
              <w:rPr>
                <w:rFonts w:ascii="Arial" w:hAnsi="Arial" w:cs="Arial"/>
                <w:sz w:val="18"/>
                <w:szCs w:val="18"/>
              </w:rPr>
              <w:t xml:space="preserve">use by adults in the home – causing additional anxiety in the children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1ADB6446" w14:textId="77777777" w:rsidTr="001F3BAC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6E513373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158B431" w:rsidR="00915380" w:rsidRPr="00AE78F2" w:rsidRDefault="006E72A9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confidence with number and its application</w:t>
            </w:r>
          </w:p>
        </w:tc>
        <w:tc>
          <w:tcPr>
            <w:tcW w:w="6095" w:type="dxa"/>
          </w:tcPr>
          <w:p w14:paraId="777A9E15" w14:textId="5B318175" w:rsidR="00034082" w:rsidRPr="00AE78F2" w:rsidRDefault="006E72A9" w:rsidP="006E7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in line with basic number on entry to each key stage.</w:t>
            </w:r>
          </w:p>
        </w:tc>
      </w:tr>
      <w:tr w:rsidR="002954A6" w:rsidRPr="002954A6" w14:paraId="712AA8B8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8BD9BC7" w:rsidR="00915380" w:rsidRPr="00AE78F2" w:rsidRDefault="006E72A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writing outcomes are in line with others</w:t>
            </w:r>
          </w:p>
        </w:tc>
        <w:tc>
          <w:tcPr>
            <w:tcW w:w="6095" w:type="dxa"/>
          </w:tcPr>
          <w:p w14:paraId="4D813713" w14:textId="1F9A9837" w:rsidR="004F1BD9" w:rsidRPr="00AE78F2" w:rsidRDefault="006E72A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Gaps with others in writing are below 5% at the end of each key stage</w:t>
            </w:r>
          </w:p>
        </w:tc>
      </w:tr>
      <w:tr w:rsidR="002954A6" w:rsidRPr="002954A6" w14:paraId="4901A4FC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A884B5E" w:rsidR="00915380" w:rsidRPr="00AE78F2" w:rsidRDefault="006E72A9" w:rsidP="007F0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engagement and outcomes of PP are in line with others</w:t>
            </w:r>
          </w:p>
        </w:tc>
        <w:tc>
          <w:tcPr>
            <w:tcW w:w="6095" w:type="dxa"/>
          </w:tcPr>
          <w:p w14:paraId="2262F299" w14:textId="2E85786A" w:rsidR="007F07DC" w:rsidRPr="00AE78F2" w:rsidRDefault="00C2425C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Puma/Pira</w:t>
            </w:r>
            <w:r w:rsidR="006E72A9">
              <w:rPr>
                <w:rFonts w:ascii="Arial" w:hAnsi="Arial" w:cs="Arial"/>
                <w:sz w:val="18"/>
                <w:szCs w:val="18"/>
              </w:rPr>
              <w:t xml:space="preserve"> reading assessments, phonics tracking, reading scheme</w:t>
            </w:r>
            <w:r>
              <w:rPr>
                <w:rFonts w:ascii="Arial" w:hAnsi="Arial" w:cs="Arial"/>
                <w:sz w:val="18"/>
                <w:szCs w:val="18"/>
              </w:rPr>
              <w:t xml:space="preserve"> tracking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Lexplore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Analysis</w:t>
            </w:r>
            <w:r w:rsidR="006E72A9">
              <w:rPr>
                <w:rFonts w:ascii="Arial" w:hAnsi="Arial" w:cs="Arial"/>
                <w:sz w:val="18"/>
                <w:szCs w:val="18"/>
              </w:rPr>
              <w:t xml:space="preserve"> evidence show PP to be in line with others.</w:t>
            </w:r>
          </w:p>
        </w:tc>
      </w:tr>
      <w:tr w:rsidR="002954A6" w:rsidRPr="002954A6" w14:paraId="204CF49E" w14:textId="77777777" w:rsidTr="001F3BAC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698C4B08" w:rsidR="00915380" w:rsidRPr="00AE78F2" w:rsidRDefault="001E2649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 the number of days that pupils are absent or late and improve p</w:t>
            </w:r>
            <w:r w:rsidR="00C2425C">
              <w:rPr>
                <w:rFonts w:ascii="Arial" w:hAnsi="Arial" w:cs="Arial"/>
                <w:sz w:val="18"/>
                <w:szCs w:val="18"/>
              </w:rPr>
              <w:t xml:space="preserve">articipation at booster sessions </w:t>
            </w:r>
            <w:r>
              <w:rPr>
                <w:rFonts w:ascii="Arial" w:hAnsi="Arial" w:cs="Arial"/>
                <w:sz w:val="18"/>
                <w:szCs w:val="18"/>
              </w:rPr>
              <w:t>by targeting key pupils and working with families.</w:t>
            </w:r>
          </w:p>
        </w:tc>
        <w:tc>
          <w:tcPr>
            <w:tcW w:w="6095" w:type="dxa"/>
          </w:tcPr>
          <w:p w14:paraId="3471AA08" w14:textId="77777777" w:rsidR="006E72A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and punctuality.</w:t>
            </w:r>
          </w:p>
          <w:p w14:paraId="3FEE7EE2" w14:textId="77777777" w:rsidR="001E264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at booster classes compared to the previous year.</w:t>
            </w:r>
          </w:p>
          <w:p w14:paraId="2C9A0DBB" w14:textId="77777777" w:rsidR="001E264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improvement through in books and assessments.</w:t>
            </w:r>
          </w:p>
          <w:p w14:paraId="438068DB" w14:textId="6B498E55" w:rsidR="001E2649" w:rsidRDefault="00C2425C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outcomes in intervention</w:t>
            </w:r>
            <w:r w:rsidR="001E2649">
              <w:rPr>
                <w:rFonts w:ascii="Arial" w:hAnsi="Arial" w:cs="Arial"/>
                <w:sz w:val="18"/>
                <w:szCs w:val="18"/>
              </w:rPr>
              <w:t xml:space="preserve"> programmes.</w:t>
            </w:r>
          </w:p>
          <w:p w14:paraId="3E5A110D" w14:textId="084D06EA" w:rsidR="001E2649" w:rsidRPr="00AE78F2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 in times tables assessments.</w:t>
            </w:r>
          </w:p>
        </w:tc>
      </w:tr>
      <w:tr w:rsidR="006E72A9" w:rsidRPr="002954A6" w14:paraId="1A42D193" w14:textId="77777777" w:rsidTr="001F3BAC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B60CF21" w14:textId="77777777" w:rsidR="006E72A9" w:rsidRPr="002954A6" w:rsidRDefault="006E72A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BF6F670" w14:textId="169756BA" w:rsidR="006E72A9" w:rsidRDefault="001E2649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levels of engagement and motivation</w:t>
            </w:r>
            <w:r w:rsidR="00C2425C">
              <w:rPr>
                <w:rFonts w:ascii="Arial" w:hAnsi="Arial" w:cs="Arial"/>
                <w:sz w:val="18"/>
                <w:szCs w:val="18"/>
              </w:rPr>
              <w:t xml:space="preserve"> through enriched curriculum provision and </w:t>
            </w:r>
            <w:proofErr w:type="spellStart"/>
            <w:r w:rsidR="00C2425C">
              <w:rPr>
                <w:rFonts w:ascii="Arial" w:hAnsi="Arial" w:cs="Arial"/>
                <w:sz w:val="18"/>
                <w:szCs w:val="18"/>
              </w:rPr>
              <w:t>extra curricular</w:t>
            </w:r>
            <w:proofErr w:type="spellEnd"/>
            <w:r w:rsidR="00C2425C">
              <w:rPr>
                <w:rFonts w:ascii="Arial" w:hAnsi="Arial" w:cs="Arial"/>
                <w:sz w:val="18"/>
                <w:szCs w:val="18"/>
              </w:rPr>
              <w:t xml:space="preserve"> opportunities.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Broaden opportunities through the school library</w:t>
            </w:r>
            <w:r w:rsidR="00C2425C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r>
              <w:rPr>
                <w:rFonts w:ascii="Arial" w:hAnsi="Arial" w:cs="Arial"/>
                <w:sz w:val="18"/>
                <w:szCs w:val="18"/>
              </w:rPr>
              <w:t>, visits and visitors so that pupils show greater curiosity and engagement in their learning.</w:t>
            </w:r>
            <w:r w:rsidR="00C2425C">
              <w:rPr>
                <w:rFonts w:ascii="Arial" w:hAnsi="Arial" w:cs="Arial"/>
                <w:sz w:val="18"/>
                <w:szCs w:val="18"/>
              </w:rPr>
              <w:t xml:space="preserve"> Increase the number of PP children receiving instrumental tuition and attending after school clubs (offered free to PP children.) </w:t>
            </w:r>
          </w:p>
        </w:tc>
        <w:tc>
          <w:tcPr>
            <w:tcW w:w="6095" w:type="dxa"/>
          </w:tcPr>
          <w:p w14:paraId="200FFD11" w14:textId="77777777" w:rsidR="008F3A81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attend trips and residential visits.</w:t>
            </w:r>
          </w:p>
          <w:p w14:paraId="5930EE12" w14:textId="0417C565" w:rsidR="00902229" w:rsidRDefault="00C2425C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Progress of PP and NPP through the reading scheme is </w:t>
            </w:r>
            <w:r w:rsidR="00551C39">
              <w:rPr>
                <w:rFonts w:ascii="Arial" w:hAnsi="Arial" w:cs="Arial"/>
                <w:sz w:val="18"/>
                <w:szCs w:val="18"/>
              </w:rPr>
              <w:t>comparable</w:t>
            </w:r>
            <w:r w:rsidR="0090222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68AA63" w14:textId="77777777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differences in the submission of PP and NPP homework or quality.</w:t>
            </w:r>
          </w:p>
          <w:p w14:paraId="48C7CCB7" w14:textId="77777777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Books in the foundation subjects are equally good.</w:t>
            </w:r>
          </w:p>
          <w:p w14:paraId="1C58EB2D" w14:textId="01E4FCED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4AAAF578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BA3F495" w:rsidR="00A60ECF" w:rsidRPr="002954A6" w:rsidRDefault="00551C39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F3A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-21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98B4766" w14:textId="56FBA52A" w:rsidR="00125340" w:rsidRPr="0035458B" w:rsidRDefault="0035458B" w:rsidP="006B29EB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Improve pupils’ confidence in understanding and applying basic number.</w:t>
            </w:r>
          </w:p>
          <w:p w14:paraId="0705A418" w14:textId="32650C07" w:rsidR="0035458B" w:rsidRPr="0035458B" w:rsidRDefault="0035458B" w:rsidP="006B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DAAC632" w14:textId="77777777" w:rsidR="007C4F4A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More focused assessment.</w:t>
            </w:r>
          </w:p>
          <w:p w14:paraId="75845BE3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More frequent assessment.</w:t>
            </w:r>
          </w:p>
          <w:p w14:paraId="5A36B658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Sharing goals with pupils.</w:t>
            </w:r>
          </w:p>
          <w:p w14:paraId="273EC94C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Improving opportunities to work on goals in schools.</w:t>
            </w:r>
          </w:p>
          <w:p w14:paraId="279F1B13" w14:textId="77777777" w:rsid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Celebrating achievement.</w:t>
            </w:r>
          </w:p>
          <w:p w14:paraId="47B38AFA" w14:textId="5B4EA0D1" w:rsidR="004A5235" w:rsidRPr="0035458B" w:rsidRDefault="004A5235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B63C418" w14:textId="77777777" w:rsidR="00125340" w:rsidRDefault="0035458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Approaches will be more closely matched to need through improved assessment.</w:t>
            </w:r>
          </w:p>
          <w:p w14:paraId="5D6682BE" w14:textId="77777777" w:rsidR="00972F8C" w:rsidRDefault="00972F8C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144499BD" w:rsidR="00972F8C" w:rsidRPr="0035458B" w:rsidRDefault="00972F8C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972F8C">
              <w:rPr>
                <w:rFonts w:ascii="Arial" w:hAnsi="Arial" w:cs="Arial"/>
                <w:sz w:val="18"/>
                <w:szCs w:val="18"/>
              </w:rPr>
              <w:t>https://educationendowmentfoundation.org.uk/education-evidence/guidance-reports/early-maths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FC75574" w14:textId="77777777" w:rsidR="00CE173D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Review of data</w:t>
            </w:r>
          </w:p>
          <w:p w14:paraId="2925C633" w14:textId="77777777" w:rsidR="0035458B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Discussions with pupils</w:t>
            </w:r>
          </w:p>
          <w:p w14:paraId="2884FE1C" w14:textId="7DF93F7A" w:rsidR="0035458B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1276" w:type="dxa"/>
            <w:shd w:val="clear" w:color="auto" w:fill="auto"/>
          </w:tcPr>
          <w:p w14:paraId="11155191" w14:textId="466C16DA" w:rsidR="00125340" w:rsidRPr="00E458E7" w:rsidRDefault="00972F8C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984" w:type="dxa"/>
          </w:tcPr>
          <w:p w14:paraId="79E6DB09" w14:textId="177C0365" w:rsidR="00125340" w:rsidRPr="00E458E7" w:rsidRDefault="0035458B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28833020" w14:textId="77777777" w:rsidTr="007312AA">
        <w:trPr>
          <w:trHeight w:hRule="exact" w:val="258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F541757" w:rsidR="00125340" w:rsidRPr="0035458B" w:rsidRDefault="0035458B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pupils’ confidence in speaking and increase the scope of their vocabulary.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807A226" w14:textId="77777777" w:rsidR="0035458B" w:rsidRDefault="0035458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systematic approach to language in other subjects during curriculum design.</w:t>
            </w:r>
          </w:p>
          <w:p w14:paraId="3A669972" w14:textId="77777777" w:rsidR="00551C39" w:rsidRDefault="00551C3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7FA859" w14:textId="78D762C2" w:rsidR="0035458B" w:rsidRDefault="00551C3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children get regular opportunities to speak within class discussions.</w:t>
            </w:r>
          </w:p>
          <w:p w14:paraId="6E47EFA6" w14:textId="4390A110" w:rsidR="0035458B" w:rsidRPr="0035458B" w:rsidRDefault="0035458B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5DC8EFA" w14:textId="77777777" w:rsidR="00193A6F" w:rsidRDefault="0035458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design offers an opportunity to improve the scope of language as well as speaking opportunities during lessons.</w:t>
            </w:r>
          </w:p>
          <w:p w14:paraId="7E6DB36C" w14:textId="77777777" w:rsidR="00972F8C" w:rsidRDefault="00972F8C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932C4" w14:textId="1D1771DB" w:rsidR="00972F8C" w:rsidRDefault="00972F8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vocabulary will improve access to the wider curriculum. </w:t>
            </w:r>
          </w:p>
          <w:p w14:paraId="58C19323" w14:textId="1772B027" w:rsidR="0035458B" w:rsidRPr="0035458B" w:rsidRDefault="0035458B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0B296F9" w14:textId="77777777" w:rsidR="007312AA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</w:t>
            </w:r>
          </w:p>
          <w:p w14:paraId="0F4968DA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4B28E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with pupils</w:t>
            </w:r>
          </w:p>
          <w:p w14:paraId="1A78C0F8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5F6F" w14:textId="6082CF5E" w:rsidR="0035458B" w:rsidRP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medium-term plans for subjects.</w:t>
            </w:r>
          </w:p>
        </w:tc>
        <w:tc>
          <w:tcPr>
            <w:tcW w:w="1276" w:type="dxa"/>
            <w:shd w:val="clear" w:color="auto" w:fill="auto"/>
          </w:tcPr>
          <w:p w14:paraId="3AD20AA1" w14:textId="1002883C" w:rsidR="00125340" w:rsidRPr="00E458E7" w:rsidRDefault="00972F8C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984" w:type="dxa"/>
            <w:shd w:val="clear" w:color="auto" w:fill="auto"/>
          </w:tcPr>
          <w:p w14:paraId="26EE8C25" w14:textId="7698A18D" w:rsidR="00125340" w:rsidRPr="00E458E7" w:rsidRDefault="0071315C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7312AA" w:rsidRPr="002954A6" w14:paraId="2AA52B56" w14:textId="77777777" w:rsidTr="007312AA">
        <w:trPr>
          <w:trHeight w:hRule="exact" w:val="29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D8B953" w14:textId="384BC07A" w:rsidR="007312AA" w:rsidRPr="00794CEE" w:rsidRDefault="00713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pupils’ confidence, social skills and language through effective collaboration during lessons.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DADC67E" w14:textId="1CA92E01" w:rsidR="00C6765D" w:rsidRDefault="00551C3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teachers focus on using positive comments with PP children to encou</w:t>
            </w:r>
            <w:r w:rsidR="008028B3">
              <w:rPr>
                <w:rFonts w:ascii="Arial" w:hAnsi="Arial" w:cs="Arial"/>
                <w:sz w:val="18"/>
                <w:szCs w:val="18"/>
              </w:rPr>
              <w:t>rage response in discussions</w:t>
            </w:r>
            <w:r w:rsidR="007131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122D2A" w14:textId="045B87EB" w:rsidR="0071315C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9E5F6" w14:textId="0A93368F" w:rsidR="0071315C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curriculum planning so that there are more group tasks.</w:t>
            </w:r>
          </w:p>
          <w:p w14:paraId="3064E765" w14:textId="43F3B995" w:rsidR="0071315C" w:rsidRDefault="000608F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 have the opportunity to observe good practice in the promotion of learning in groups.</w:t>
            </w:r>
          </w:p>
          <w:p w14:paraId="3042043B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7EB9D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6A3CC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5EC56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3FAE6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EAE78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D4FB5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39FC1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80989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869A8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5EA3A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19A55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9ED3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3C852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A7C71" w14:textId="6AF2D5DF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4B8522" w14:textId="31EACC47" w:rsidR="003E080B" w:rsidRDefault="008028B3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Studies suggest outcomes are better </w:t>
            </w:r>
            <w:r w:rsidR="00E5223C">
              <w:rPr>
                <w:rFonts w:ascii="Arial" w:hAnsi="Arial" w:cs="Arial"/>
                <w:sz w:val="18"/>
                <w:szCs w:val="18"/>
              </w:rPr>
              <w:t xml:space="preserve">(and use higher order thinking skills)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increased </w:t>
            </w:r>
            <w:r w:rsidR="000608F4">
              <w:rPr>
                <w:rFonts w:ascii="Arial" w:hAnsi="Arial" w:cs="Arial"/>
                <w:sz w:val="18"/>
                <w:szCs w:val="18"/>
              </w:rPr>
              <w:t>levels of inter</w:t>
            </w:r>
            <w:r w:rsidR="00972F8C">
              <w:rPr>
                <w:rFonts w:ascii="Arial" w:hAnsi="Arial" w:cs="Arial"/>
                <w:sz w:val="18"/>
                <w:szCs w:val="18"/>
              </w:rPr>
              <w:t xml:space="preserve">action and collaboration, Kagan, etc. </w:t>
            </w:r>
          </w:p>
          <w:p w14:paraId="643F57A5" w14:textId="77777777" w:rsidR="00E5223C" w:rsidRDefault="00E5223C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4EC58" w14:textId="2C19AB23" w:rsidR="00E5223C" w:rsidRDefault="00E5223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E5223C">
              <w:rPr>
                <w:rFonts w:ascii="Arial" w:hAnsi="Arial" w:cs="Arial"/>
                <w:sz w:val="18"/>
                <w:szCs w:val="18"/>
              </w:rPr>
              <w:t>https://educationendowmentfoundation.org.uk/school-themes/developing-effective-learners/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7F26FE8" w14:textId="77777777" w:rsidR="00D53C59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</w:p>
          <w:p w14:paraId="33CE0A16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2308C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with teachers and pupils.</w:t>
            </w:r>
          </w:p>
          <w:p w14:paraId="0FA8B4D7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EE064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plans</w:t>
            </w:r>
          </w:p>
          <w:p w14:paraId="5A3BB805" w14:textId="711B55FE" w:rsidR="000608F4" w:rsidRPr="007312AA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0F7FAB" w14:textId="79949424" w:rsidR="007312AA" w:rsidRPr="00E458E7" w:rsidRDefault="00972F8C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KW/KA</w:t>
            </w:r>
          </w:p>
        </w:tc>
        <w:tc>
          <w:tcPr>
            <w:tcW w:w="1984" w:type="dxa"/>
            <w:shd w:val="clear" w:color="auto" w:fill="auto"/>
          </w:tcPr>
          <w:p w14:paraId="2DA19385" w14:textId="08638D2D" w:rsidR="007312AA" w:rsidRPr="00E458E7" w:rsidRDefault="000608F4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E458E7"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</w:t>
            </w:r>
            <w:bookmarkStart w:id="1" w:name="_GoBack"/>
            <w:bookmarkEnd w:id="1"/>
            <w:r w:rsidRPr="002954A6">
              <w:rPr>
                <w:rFonts w:ascii="Arial" w:hAnsi="Arial" w:cs="Arial"/>
                <w:b/>
              </w:rPr>
              <w:t>dgeted cost</w:t>
            </w:r>
          </w:p>
        </w:tc>
        <w:tc>
          <w:tcPr>
            <w:tcW w:w="1984" w:type="dxa"/>
          </w:tcPr>
          <w:p w14:paraId="03D03D72" w14:textId="2899CC0A" w:rsidR="00125340" w:rsidRPr="001C1EF7" w:rsidRDefault="00E5223C" w:rsidP="00F85CBD">
            <w:pPr>
              <w:rPr>
                <w:rFonts w:ascii="Arial" w:hAnsi="Arial" w:cs="Arial"/>
              </w:rPr>
            </w:pPr>
            <w:r w:rsidRPr="001C1EF7">
              <w:rPr>
                <w:rFonts w:ascii="Arial" w:hAnsi="Arial" w:cs="Arial"/>
              </w:rPr>
              <w:t>£</w:t>
            </w:r>
            <w:r w:rsidR="001C1EF7" w:rsidRPr="001C1EF7">
              <w:rPr>
                <w:rFonts w:ascii="Arial" w:hAnsi="Arial" w:cs="Arial"/>
              </w:rPr>
              <w:t>4,375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A75F19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97498B">
        <w:trPr>
          <w:trHeight w:hRule="exact" w:val="305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13883C8" w14:textId="77777777" w:rsidR="00902229" w:rsidRPr="0097498B" w:rsidRDefault="00902229" w:rsidP="00E865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6F240" w14:textId="3F59964E" w:rsidR="00BB6DB0" w:rsidRPr="0097498B" w:rsidRDefault="00BB6DB0" w:rsidP="0072421A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Accelerated progress in reading, writing and maths </w:t>
            </w:r>
          </w:p>
          <w:p w14:paraId="6AE80FBE" w14:textId="77777777" w:rsidR="0072421A" w:rsidRPr="0097498B" w:rsidRDefault="0072421A" w:rsidP="0072421A">
            <w:pPr>
              <w:pStyle w:val="ListParagraph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1872C55" w14:textId="5224BB7C" w:rsidR="00902229" w:rsidRPr="0097498B" w:rsidRDefault="00BB6DB0" w:rsidP="007242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A greater percentage of children in receipt of pupil premium attain end of year expectation in Y6 in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3C97DF4" w14:textId="77777777" w:rsidR="00BB6DB0" w:rsidRPr="0097498B" w:rsidRDefault="00BB6DB0" w:rsidP="00BB6DB0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Weekly 1:1 TA Speech and Language interventions in Rec/Y1</w:t>
            </w:r>
          </w:p>
          <w:p w14:paraId="63F1BD4D" w14:textId="77777777" w:rsidR="00BB6DB0" w:rsidRPr="0097498B" w:rsidRDefault="00BB6DB0" w:rsidP="00BB6DB0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3x per week 1:1 TA Phonic boosters Y1/2  </w:t>
            </w:r>
          </w:p>
          <w:p w14:paraId="4BF80DA3" w14:textId="4623A0EA" w:rsidR="00BB6DB0" w:rsidRPr="0097498B" w:rsidRDefault="00BB6DB0" w:rsidP="00BB6DB0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1 Hour weekly small group Reading and Maths interventions Y3/Y4</w:t>
            </w:r>
          </w:p>
          <w:p w14:paraId="062FF7D1" w14:textId="58332F73" w:rsidR="00BB6DB0" w:rsidRPr="0097498B" w:rsidRDefault="00BB6DB0" w:rsidP="00BB6DB0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1 Hour weekly small group Reading and Maths interventions Y5/Y6</w:t>
            </w:r>
          </w:p>
          <w:p w14:paraId="69BCA213" w14:textId="4EB6F0F6" w:rsidR="00902229" w:rsidRPr="0097498B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9E0520A" w14:textId="27C3FA5F" w:rsidR="00902229" w:rsidRDefault="00002E90" w:rsidP="0090222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72F8C" w:rsidRPr="00B86C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https://educationendowmentfoundation.org.uk/education-evidence/guidance-reports/literacy-ks-1</w:t>
              </w:r>
            </w:hyperlink>
          </w:p>
          <w:p w14:paraId="2468C510" w14:textId="77777777" w:rsidR="00972F8C" w:rsidRDefault="00972F8C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2C47B" w14:textId="0C9F604A" w:rsidR="00972F8C" w:rsidRDefault="00002E90" w:rsidP="00902229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72F8C" w:rsidRPr="00B86C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https://educationendowmentfoundation.org.uk/education-evidence/guidance-reports/early-maths</w:t>
              </w:r>
            </w:hyperlink>
          </w:p>
          <w:p w14:paraId="593DB299" w14:textId="77777777" w:rsidR="00972F8C" w:rsidRDefault="00972F8C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221504BE" w:rsidR="00972F8C" w:rsidRPr="0097498B" w:rsidRDefault="00972F8C" w:rsidP="00902229">
            <w:pPr>
              <w:rPr>
                <w:rFonts w:ascii="Arial" w:hAnsi="Arial" w:cs="Arial"/>
                <w:sz w:val="18"/>
                <w:szCs w:val="18"/>
              </w:rPr>
            </w:pPr>
            <w:r w:rsidRPr="00972F8C">
              <w:rPr>
                <w:rFonts w:ascii="Arial" w:hAnsi="Arial" w:cs="Arial"/>
                <w:sz w:val="18"/>
                <w:szCs w:val="18"/>
              </w:rPr>
              <w:t>https://d2tic4wvo1iusb.cloudfront.net/eef-guidance-reports/maths-ks-2-3/EEF_-_Maths_KS2_KS3_Guidance_A3_Recs_Poster.pdf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F04F73A" w14:textId="77777777" w:rsidR="00EF0CA0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Visit sessions and talk with pupils.</w:t>
            </w:r>
          </w:p>
          <w:p w14:paraId="5C05FAC8" w14:textId="77777777" w:rsidR="00902229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8F7B3" w14:textId="77777777" w:rsidR="00902229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9A195" w14:textId="77777777" w:rsidR="00902229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A50E8" w14:textId="77777777" w:rsidR="00902229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317CD2E1" w:rsidR="00902229" w:rsidRPr="0097498B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Observe sessions and outcomes over time.</w:t>
            </w:r>
          </w:p>
        </w:tc>
        <w:tc>
          <w:tcPr>
            <w:tcW w:w="1276" w:type="dxa"/>
          </w:tcPr>
          <w:p w14:paraId="6F2734DF" w14:textId="77777777" w:rsidR="00125340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CQ</w:t>
            </w:r>
          </w:p>
          <w:p w14:paraId="6244BF9F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8274F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8AE6E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  <w:p w14:paraId="7DBEE30C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93388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A98BD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</w:t>
            </w:r>
          </w:p>
          <w:p w14:paraId="4A9F6BE9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BAE92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3AD0D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C95A3" w14:textId="2E0E0F7D" w:rsidR="00C26CBD" w:rsidRPr="00004FB6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</w:t>
            </w:r>
          </w:p>
        </w:tc>
        <w:tc>
          <w:tcPr>
            <w:tcW w:w="1984" w:type="dxa"/>
          </w:tcPr>
          <w:p w14:paraId="27A55D1E" w14:textId="74D5CBF3" w:rsidR="00125340" w:rsidRPr="00004FB6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and June</w:t>
            </w:r>
            <w:r w:rsidR="007077C4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</w:tr>
      <w:tr w:rsidR="002954A6" w:rsidRPr="002954A6" w14:paraId="4684DC39" w14:textId="77777777" w:rsidTr="003E62C2">
        <w:trPr>
          <w:trHeight w:hRule="exact" w:val="362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1224434" w:rsidR="00125340" w:rsidRPr="0097498B" w:rsidRDefault="0072421A" w:rsidP="007242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All P.P. children to be </w:t>
            </w:r>
            <w:r w:rsidR="00C26CBD">
              <w:rPr>
                <w:rFonts w:ascii="Arial" w:hAnsi="Arial" w:cs="Arial"/>
                <w:sz w:val="18"/>
                <w:szCs w:val="18"/>
              </w:rPr>
              <w:t xml:space="preserve">effectively </w:t>
            </w:r>
            <w:r w:rsidRPr="0097498B">
              <w:rPr>
                <w:rFonts w:ascii="Arial" w:hAnsi="Arial" w:cs="Arial"/>
                <w:sz w:val="18"/>
                <w:szCs w:val="18"/>
              </w:rPr>
              <w:t>engaged in their learning and make good progress across the curriculum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4276C08" w14:textId="70AB1A68" w:rsidR="0072421A" w:rsidRPr="0097498B" w:rsidRDefault="0072421A" w:rsidP="0072421A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2 x TAs (KS1 and 2) 3x per </w:t>
            </w:r>
            <w:proofErr w:type="spellStart"/>
            <w:r w:rsidRPr="0097498B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97498B">
              <w:rPr>
                <w:rFonts w:ascii="Arial" w:hAnsi="Arial" w:cs="Arial"/>
                <w:sz w:val="18"/>
                <w:szCs w:val="18"/>
              </w:rPr>
              <w:t xml:space="preserve"> to support children to develop their social emotional development </w:t>
            </w:r>
          </w:p>
          <w:p w14:paraId="4D18CCC4" w14:textId="37683531" w:rsidR="00902229" w:rsidRPr="0097498B" w:rsidRDefault="0072421A" w:rsidP="0072421A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I TA to undertake ELSA emotional interventions for most complex pupils each afternoon</w:t>
            </w:r>
          </w:p>
          <w:p w14:paraId="4B745F75" w14:textId="77777777" w:rsidR="007077C4" w:rsidRPr="0097498B" w:rsidRDefault="007077C4" w:rsidP="00707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EE6B1" w14:textId="77777777" w:rsidR="007077C4" w:rsidRPr="0097498B" w:rsidRDefault="007077C4" w:rsidP="00707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4F051" w14:textId="77777777" w:rsidR="007077C4" w:rsidRPr="0097498B" w:rsidRDefault="007077C4" w:rsidP="00707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3B280C07" w:rsidR="007077C4" w:rsidRPr="0097498B" w:rsidRDefault="007077C4" w:rsidP="00707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45B3776" w14:textId="77777777" w:rsidR="003E62C2" w:rsidRDefault="007C1355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emotional support to enable more vulnerable pupils to improve concentration and reduce overall anxiety.</w:t>
            </w:r>
          </w:p>
          <w:p w14:paraId="08CE1242" w14:textId="77777777" w:rsidR="007C1355" w:rsidRDefault="007C1355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5FB0F" w14:textId="2F01D0AD" w:rsidR="007C1355" w:rsidRPr="0097498B" w:rsidRDefault="007C1355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Calmer, less anxious pupils with coping mechanisms and regular ‘check in’ support will work better and make achievement more likely.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92DE560" w14:textId="77777777" w:rsidR="00EF0CA0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Visit the groups.</w:t>
            </w:r>
          </w:p>
          <w:p w14:paraId="54D1CBD4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14C1B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94728E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Monitor attendance and participation.</w:t>
            </w:r>
          </w:p>
          <w:p w14:paraId="72C73341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1FBAF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Review outcomes for each term.</w:t>
            </w:r>
          </w:p>
          <w:p w14:paraId="4D3F33DF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68EC0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75ACC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Discussions with pupils and staff.</w:t>
            </w:r>
          </w:p>
          <w:p w14:paraId="54247838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0FB23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DDD6F" w14:textId="77777777" w:rsidR="00902229" w:rsidRPr="0097498B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Review of books and data.</w:t>
            </w:r>
          </w:p>
          <w:p w14:paraId="25E4AFD0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972C9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57A03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FAC63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52B80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2D006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3600E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8C5D0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69BA2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67D2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4D88E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147D54" w14:textId="77777777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6B154093" w:rsidR="007077C4" w:rsidRPr="0097498B" w:rsidRDefault="007077C4" w:rsidP="00C47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50D8F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60847" w14:textId="77777777" w:rsidR="00125340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</w:t>
            </w:r>
          </w:p>
          <w:p w14:paraId="05688A20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7AAB2" w14:textId="77777777" w:rsidR="00C26CBD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1324F" w14:textId="6DAC2390" w:rsidR="00C26CBD" w:rsidRPr="0097498B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</w:t>
            </w:r>
          </w:p>
        </w:tc>
        <w:tc>
          <w:tcPr>
            <w:tcW w:w="1984" w:type="dxa"/>
          </w:tcPr>
          <w:p w14:paraId="18640901" w14:textId="708310C4" w:rsidR="00125340" w:rsidRPr="0097498B" w:rsidRDefault="00C26CBD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and June</w:t>
            </w:r>
            <w:r w:rsidR="007077C4" w:rsidRPr="0097498B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  <w:p w14:paraId="50BA19F8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323B0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CD7F9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65EC6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E9A50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2B45F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E7B06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27F35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6C88E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8C12F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7FA7E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31AC7C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2DC81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1F0F7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62518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A031A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5E02D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5EF1E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34AC3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7CDDE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18BE0" w14:textId="77777777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3C1F6" w14:textId="35A31749" w:rsidR="007077C4" w:rsidRPr="0097498B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672" w:rsidRPr="002954A6" w14:paraId="7BBF9258" w14:textId="77777777" w:rsidTr="0097498B">
        <w:trPr>
          <w:trHeight w:hRule="exact" w:val="19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A5CA59" w14:textId="77777777" w:rsidR="00A15672" w:rsidRDefault="00A15672" w:rsidP="007242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lastRenderedPageBreak/>
              <w:t>Development in speech and language to support the children in making progress towards the end of year expectations in English</w:t>
            </w:r>
          </w:p>
          <w:p w14:paraId="58BE6ADE" w14:textId="77777777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4D79E" w14:textId="77777777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081DE" w14:textId="77777777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307B3" w14:textId="77777777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6ACEE" w14:textId="77777777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7B3D9" w14:textId="4432547B" w:rsidR="00E458E7" w:rsidRP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7A2892A" w14:textId="77777777" w:rsidR="00A15672" w:rsidRDefault="00A15672" w:rsidP="0072421A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Additional TA to support children in EYFS Y1 and Y2 to support speech and language development</w:t>
            </w:r>
          </w:p>
          <w:p w14:paraId="6FD304EB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D709267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2AD239B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73BAEE7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7B1933C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26A2AEE" w14:textId="77777777" w:rsid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01B6FB5" w14:textId="29E0D8AF" w:rsidR="00E458E7" w:rsidRPr="00E458E7" w:rsidRDefault="00E458E7" w:rsidP="00E458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7964C44" w14:textId="1E9CB07F" w:rsidR="00A15672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EEF – Improving Literacy at KS1 (2020) </w:t>
            </w:r>
          </w:p>
          <w:p w14:paraId="370230E7" w14:textId="77777777" w:rsidR="00E458E7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 1 – Developing speech and language skills to aid understanding of language</w:t>
            </w:r>
          </w:p>
          <w:p w14:paraId="3DB436AB" w14:textId="77777777" w:rsidR="00E458E7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 8 – High Quality Structured Interventions to improve outcomes</w:t>
            </w:r>
          </w:p>
          <w:p w14:paraId="15E78CF3" w14:textId="19A722B6" w:rsidR="00E458E7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67108" w14:textId="77777777" w:rsidR="00E458E7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B17F3" w14:textId="77777777" w:rsidR="00E458E7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977E6" w14:textId="5E44F13D" w:rsidR="00E458E7" w:rsidRPr="0097498B" w:rsidRDefault="00E458E7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4BB5A83" w14:textId="77777777" w:rsidR="00A15672" w:rsidRDefault="00A1567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6E094" w14:textId="77777777" w:rsidR="00E458E7" w:rsidRPr="0097498B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Visit sessions and talk with pupils.</w:t>
            </w:r>
          </w:p>
          <w:p w14:paraId="24524E5B" w14:textId="77777777" w:rsidR="00E458E7" w:rsidRPr="0097498B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4C291" w14:textId="77777777" w:rsidR="00E458E7" w:rsidRPr="0097498B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5C54C" w14:textId="77777777" w:rsidR="00E458E7" w:rsidRPr="0097498B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C17C6" w14:textId="1EC995C0" w:rsidR="00E458E7" w:rsidRDefault="00E458E7" w:rsidP="00E458E7">
            <w:p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Observe </w:t>
            </w:r>
            <w:r>
              <w:rPr>
                <w:rFonts w:ascii="Arial" w:hAnsi="Arial" w:cs="Arial"/>
                <w:sz w:val="18"/>
                <w:szCs w:val="18"/>
              </w:rPr>
              <w:t>sessions and outcomes over time, especially with regard to being ‘on track’ for EOY expectations.</w:t>
            </w:r>
          </w:p>
          <w:p w14:paraId="0378EC03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2E3EA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E6404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FEFC1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D9427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9A298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F4F73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7CB63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28249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D04E3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12E30" w14:textId="77777777" w:rsidR="00E458E7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99AA38" w14:textId="77777777" w:rsidR="00E458E7" w:rsidRPr="0097498B" w:rsidRDefault="00E458E7" w:rsidP="00C47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DC6E5" w14:textId="77777777" w:rsidR="00A15672" w:rsidRDefault="00A15672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4489D" w14:textId="7BCB4700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  <w:p w14:paraId="04226776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7C4BA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2E983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52D8A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0F700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F09C2E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4811A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9ADF7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3CFAB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3DCE4" w14:textId="77777777" w:rsidR="00E458E7" w:rsidRPr="0097498B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92C563" w14:textId="77777777" w:rsidR="00A15672" w:rsidRDefault="00A15672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B40F4" w14:textId="24E6924A" w:rsidR="00E458E7" w:rsidRDefault="009C5622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and June 21</w:t>
            </w:r>
          </w:p>
          <w:p w14:paraId="1CE7B040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15865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91007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8C79E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EC188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33CAC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B6A27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43894" w14:textId="77777777" w:rsidR="00E458E7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DF9A9" w14:textId="77777777" w:rsidR="00E458E7" w:rsidRPr="0097498B" w:rsidRDefault="00E458E7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672" w:rsidRPr="002954A6" w14:paraId="46F0A099" w14:textId="77777777" w:rsidTr="0097498B">
        <w:trPr>
          <w:trHeight w:hRule="exact" w:val="348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C008B2F" w14:textId="6F170D4F" w:rsidR="00D26596" w:rsidRPr="0097498B" w:rsidRDefault="00D26596" w:rsidP="00D2659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All disadvantaged SEND pupils have provision sharply focused on needs</w:t>
            </w:r>
          </w:p>
          <w:p w14:paraId="2BE863D7" w14:textId="77777777" w:rsidR="00D26596" w:rsidRPr="0097498B" w:rsidRDefault="00D26596" w:rsidP="00D2659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PP SEND children are well supported to enjoy lunchtimes leading to higher afternoon engagement </w:t>
            </w:r>
          </w:p>
          <w:p w14:paraId="567EC897" w14:textId="0D4AF9D0" w:rsidR="00A15672" w:rsidRPr="0097498B" w:rsidRDefault="00D26596" w:rsidP="00D265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All pupils make progress against the curriculum and reach the personalised targets set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F6FD739" w14:textId="77777777" w:rsidR="00F61EAB" w:rsidRPr="0097498B" w:rsidRDefault="00F61EAB" w:rsidP="00F61EA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 xml:space="preserve">Release time for SEND leader to monitor the progress and support children in receipt of pupil premium on the SEND register </w:t>
            </w:r>
          </w:p>
          <w:p w14:paraId="70A06DB6" w14:textId="1BABFC84" w:rsidR="00F61EAB" w:rsidRPr="0097498B" w:rsidRDefault="00F61EAB" w:rsidP="00F61EA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Midday assistant to support 3 KS2 disadvantaged SEND pupils during lunchtimes</w:t>
            </w:r>
          </w:p>
          <w:p w14:paraId="58E2337A" w14:textId="559DCE4F" w:rsidR="00A15672" w:rsidRPr="0097498B" w:rsidRDefault="00F61EAB" w:rsidP="00F61EA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98B">
              <w:rPr>
                <w:rFonts w:ascii="Arial" w:hAnsi="Arial" w:cs="Arial"/>
                <w:sz w:val="18"/>
                <w:szCs w:val="18"/>
              </w:rPr>
              <w:t>Additional resources to support physical impairments purchased in KS2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BAB9404" w14:textId="77777777" w:rsidR="00A15672" w:rsidRDefault="00415EE0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involvement and overview from the SENDCO will improve and give greater consistency to provision, in turn this is likely to lead to improved progress and better pupil outcomes.</w:t>
            </w:r>
          </w:p>
          <w:p w14:paraId="27F826C7" w14:textId="4DC524E7" w:rsidR="00415EE0" w:rsidRDefault="00415EE0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590EE" w14:textId="77777777" w:rsidR="00AC152B" w:rsidRDefault="00AC152B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09746" w14:textId="07AA0C37" w:rsidR="00415EE0" w:rsidRDefault="00415EE0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engagement and support over lunchtime is likely to lead to improved levels of concentration and pupil</w:t>
            </w:r>
            <w:r w:rsidR="00AC15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0C9F1" w14:textId="77777777" w:rsidR="00AC152B" w:rsidRDefault="00AC152B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662C7A" w14:textId="77777777" w:rsidR="00AC152B" w:rsidRDefault="00AC152B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DBB5D" w14:textId="7F7A08A1" w:rsidR="00AC152B" w:rsidRPr="0097498B" w:rsidRDefault="00AC152B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of specialist resources will improve access to the curriculum for pupils with complex physical needs.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75C0BE7" w14:textId="77777777" w:rsidR="00A15672" w:rsidRDefault="00A1567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7C30B" w14:textId="77777777" w:rsidR="00BB1064" w:rsidRDefault="00BB1064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Link Governor learning walks with SENDCO</w:t>
            </w:r>
          </w:p>
          <w:p w14:paraId="3280FB06" w14:textId="77777777" w:rsidR="00BB1064" w:rsidRDefault="00BB106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C15A2" w14:textId="77777777" w:rsidR="00BB1064" w:rsidRDefault="00BB1064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E90ED" w14:textId="77777777" w:rsidR="00BB1064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sessions and talk with pupils</w:t>
            </w:r>
          </w:p>
          <w:p w14:paraId="7A40BBB9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D388D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E2CEC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log</w:t>
            </w:r>
          </w:p>
          <w:p w14:paraId="03CC886E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65635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A1D49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63824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Observations</w:t>
            </w:r>
          </w:p>
          <w:p w14:paraId="1566E658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8F51F" w14:textId="77777777" w:rsidR="00741BA2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C23" w14:textId="18A93436" w:rsidR="00741BA2" w:rsidRPr="0097498B" w:rsidRDefault="00741BA2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progress report</w:t>
            </w:r>
          </w:p>
        </w:tc>
        <w:tc>
          <w:tcPr>
            <w:tcW w:w="1276" w:type="dxa"/>
          </w:tcPr>
          <w:p w14:paraId="239421C4" w14:textId="77777777" w:rsidR="00A15672" w:rsidRDefault="00A15672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0E367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CDD39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</w:t>
            </w:r>
          </w:p>
          <w:p w14:paraId="3E52AED8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E70BB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79E6C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56550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4872D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1C6AD" w14:textId="6536896D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  <w:p w14:paraId="413E4DFF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CAAA2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D88BC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9CD5F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F2693" w14:textId="18D9CF56" w:rsidR="00BB1064" w:rsidRPr="0097498B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</w:t>
            </w:r>
          </w:p>
        </w:tc>
        <w:tc>
          <w:tcPr>
            <w:tcW w:w="1984" w:type="dxa"/>
          </w:tcPr>
          <w:p w14:paraId="74BD010A" w14:textId="77777777" w:rsidR="00A15672" w:rsidRDefault="00A15672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4E8803" w14:textId="77777777" w:rsidR="00BB1064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95313" w14:textId="3CBF64BC" w:rsidR="00BB1064" w:rsidRDefault="00BB1064" w:rsidP="00BB10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  <w:p w14:paraId="58E7929E" w14:textId="11DDCEAD" w:rsidR="00BB1064" w:rsidRPr="0097498B" w:rsidRDefault="00BB1064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412BC877" w14:textId="6FC4BBFD" w:rsidR="00902229" w:rsidRPr="008F769B" w:rsidRDefault="007077C4" w:rsidP="000315F8">
            <w:pPr>
              <w:rPr>
                <w:rFonts w:ascii="Arial" w:hAnsi="Arial" w:cs="Arial"/>
                <w:b/>
              </w:rPr>
            </w:pPr>
            <w:r w:rsidRPr="008F769B">
              <w:rPr>
                <w:rFonts w:ascii="Arial" w:hAnsi="Arial" w:cs="Arial"/>
                <w:b/>
              </w:rPr>
              <w:t>£</w:t>
            </w:r>
            <w:r w:rsidR="008F769B" w:rsidRPr="008F769B">
              <w:rPr>
                <w:rFonts w:ascii="Arial" w:hAnsi="Arial" w:cs="Arial"/>
                <w:b/>
              </w:rPr>
              <w:t>19,200</w:t>
            </w:r>
          </w:p>
          <w:p w14:paraId="5E5FDC20" w14:textId="77777777" w:rsidR="007077C4" w:rsidRDefault="007077C4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CA9F8" w14:textId="77777777" w:rsidR="007077C4" w:rsidRDefault="007077C4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1499E" w14:textId="77777777" w:rsidR="007077C4" w:rsidRDefault="007077C4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E08E" w14:textId="77777777" w:rsidR="007077C4" w:rsidRDefault="007077C4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17299D" w14:textId="77777777" w:rsidR="00902229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150D0" w14:textId="77777777" w:rsidR="00902229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38DCA" w14:textId="02A447C0" w:rsidR="00902229" w:rsidRPr="002954A6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5B962DE8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A75F19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4F1FFFC" w14:textId="77777777" w:rsidR="006A34D1" w:rsidRPr="006A34D1" w:rsidRDefault="006A34D1" w:rsidP="006A34D1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A34D1">
              <w:rPr>
                <w:rFonts w:ascii="Arial" w:hAnsi="Arial" w:cs="Arial"/>
                <w:sz w:val="18"/>
                <w:szCs w:val="18"/>
              </w:rPr>
              <w:t xml:space="preserve">Increased number of pupil premium children attending after school clubs when compared to last year </w:t>
            </w:r>
          </w:p>
          <w:p w14:paraId="25211FD3" w14:textId="411EAEBF" w:rsidR="00902229" w:rsidRPr="00AE78F2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ADE67D2" w14:textId="77777777" w:rsidR="00083F16" w:rsidRPr="00083F16" w:rsidRDefault="00083F16" w:rsidP="00083F1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83F16">
              <w:rPr>
                <w:rFonts w:ascii="Arial" w:hAnsi="Arial" w:cs="Arial"/>
                <w:sz w:val="18"/>
                <w:szCs w:val="18"/>
              </w:rPr>
              <w:t>PP Children targeted for extracurricular clubs and competitions</w:t>
            </w:r>
          </w:p>
          <w:p w14:paraId="4E46B61A" w14:textId="491504FE" w:rsidR="00902229" w:rsidRPr="00083F16" w:rsidRDefault="00083F16" w:rsidP="00083F1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83F16">
              <w:rPr>
                <w:rFonts w:ascii="Arial" w:hAnsi="Arial" w:cs="Arial"/>
                <w:sz w:val="18"/>
                <w:szCs w:val="18"/>
              </w:rPr>
              <w:t>Bursar/TA to support children and parents in accessing after school 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2C1158C7" w:rsidR="00902229" w:rsidRPr="00AE78F2" w:rsidRDefault="006677BB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Increasing numbers of pupils attending and enjoying after school provision is likely to lead to improved confidence and resilience feeding into improved performance in academic subjects.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A888B06" w14:textId="77777777" w:rsidR="00057534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pupils.</w:t>
            </w:r>
          </w:p>
          <w:p w14:paraId="3711FE81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3707D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visits.</w:t>
            </w:r>
          </w:p>
          <w:p w14:paraId="1A8256A3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08F7D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behaviour, attendance and academic data.</w:t>
            </w:r>
          </w:p>
          <w:p w14:paraId="7175BE7A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67890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359599FA" w:rsidR="00902229" w:rsidRPr="00AE78F2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participation.</w:t>
            </w:r>
          </w:p>
        </w:tc>
        <w:tc>
          <w:tcPr>
            <w:tcW w:w="1276" w:type="dxa"/>
          </w:tcPr>
          <w:p w14:paraId="6C88C9AC" w14:textId="7C136898" w:rsidR="00125340" w:rsidRPr="00AE78F2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984" w:type="dxa"/>
          </w:tcPr>
          <w:p w14:paraId="2963AFFD" w14:textId="39DA00DF" w:rsidR="00125340" w:rsidRDefault="007077C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and May 21</w:t>
            </w:r>
          </w:p>
          <w:p w14:paraId="2C23CB05" w14:textId="77777777" w:rsidR="00902229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DB85B" w14:textId="70634A3C" w:rsidR="00902229" w:rsidRPr="00AE78F2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4D1" w:rsidRPr="002954A6" w14:paraId="49634909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BBC109" w14:textId="77777777" w:rsidR="00083F16" w:rsidRPr="00083F16" w:rsidRDefault="00083F16" w:rsidP="00083F1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83F16">
              <w:rPr>
                <w:rFonts w:ascii="Arial" w:hAnsi="Arial" w:cs="Arial"/>
                <w:sz w:val="18"/>
                <w:szCs w:val="18"/>
              </w:rPr>
              <w:lastRenderedPageBreak/>
              <w:t xml:space="preserve">More disadvantaged children accessing music tuition </w:t>
            </w:r>
          </w:p>
          <w:p w14:paraId="51DE62BA" w14:textId="77777777" w:rsidR="006A34D1" w:rsidRDefault="006A34D1" w:rsidP="00083F1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93AE9D6" w14:textId="23A445A2" w:rsidR="00E84E2A" w:rsidRPr="00E84E2A" w:rsidRDefault="00E84E2A" w:rsidP="00E84E2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Musical tuition helping to support Emotional wellbeing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2DD2588" w14:textId="77777777" w:rsidR="00083F16" w:rsidRPr="00083F16" w:rsidRDefault="00083F16" w:rsidP="00083F1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83F16">
              <w:rPr>
                <w:rFonts w:ascii="Arial" w:hAnsi="Arial" w:cs="Arial"/>
                <w:sz w:val="18"/>
                <w:szCs w:val="18"/>
              </w:rPr>
              <w:t>Every PP child offered the chance to learn an instrument (tuition, instrument and supporting materials all free of charge)</w:t>
            </w:r>
          </w:p>
          <w:p w14:paraId="74299AFE" w14:textId="77777777" w:rsidR="006A34D1" w:rsidRPr="00AE78F2" w:rsidRDefault="006A34D1" w:rsidP="0090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21A80EE" w14:textId="77777777" w:rsidR="006A34D1" w:rsidRDefault="00E84E2A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Increasing numbers of pupils receiving and enjoying musical tuition is likely to lead to improved confidence and resilience feeding into improved performance in academic subjects.</w:t>
            </w:r>
          </w:p>
          <w:p w14:paraId="624381D3" w14:textId="77777777" w:rsidR="00E84E2A" w:rsidRDefault="00E84E2A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C03D2" w14:textId="4DD0E73A" w:rsidR="00E84E2A" w:rsidRPr="00AE78F2" w:rsidRDefault="00E84E2A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673E453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pupils.</w:t>
            </w:r>
          </w:p>
          <w:p w14:paraId="770AF65A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9CF5B" w14:textId="08DE49F6" w:rsidR="00E84E2A" w:rsidRDefault="007C6514" w:rsidP="00E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</w:t>
            </w:r>
            <w:r w:rsidR="00E84E2A">
              <w:rPr>
                <w:rFonts w:ascii="Arial" w:hAnsi="Arial" w:cs="Arial"/>
                <w:sz w:val="18"/>
                <w:szCs w:val="18"/>
              </w:rPr>
              <w:t xml:space="preserve"> visits.</w:t>
            </w:r>
          </w:p>
          <w:p w14:paraId="79B4CF37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E663F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behaviour, attendance and academic data.</w:t>
            </w:r>
          </w:p>
          <w:p w14:paraId="14253CB5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6999B" w14:textId="77777777" w:rsidR="00E84E2A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9B91BD" w14:textId="738FD5CD" w:rsidR="006A34D1" w:rsidRDefault="00E84E2A" w:rsidP="00E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participation.</w:t>
            </w:r>
          </w:p>
        </w:tc>
        <w:tc>
          <w:tcPr>
            <w:tcW w:w="1276" w:type="dxa"/>
          </w:tcPr>
          <w:p w14:paraId="683A4934" w14:textId="77777777" w:rsidR="007C6514" w:rsidRDefault="007C6514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2E2A5" w14:textId="660851E2" w:rsidR="006A34D1" w:rsidRDefault="007C6514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984" w:type="dxa"/>
          </w:tcPr>
          <w:p w14:paraId="3F615E23" w14:textId="77777777" w:rsidR="007C6514" w:rsidRDefault="007C6514" w:rsidP="007C6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DD548" w14:textId="21BBDEDC" w:rsidR="007C6514" w:rsidRDefault="007C6514" w:rsidP="007C6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and May 21</w:t>
            </w:r>
          </w:p>
          <w:p w14:paraId="0C2D8566" w14:textId="77777777" w:rsidR="006A34D1" w:rsidRDefault="006A34D1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56DDCF74" w:rsidR="00125340" w:rsidRPr="008F769B" w:rsidRDefault="007077C4" w:rsidP="000315F8">
            <w:pPr>
              <w:rPr>
                <w:rFonts w:ascii="Arial" w:hAnsi="Arial" w:cs="Arial"/>
                <w:b/>
              </w:rPr>
            </w:pPr>
            <w:r w:rsidRPr="008F769B">
              <w:rPr>
                <w:rFonts w:ascii="Arial" w:hAnsi="Arial" w:cs="Arial"/>
                <w:b/>
              </w:rPr>
              <w:t>£</w:t>
            </w:r>
            <w:r w:rsidR="00185F3D">
              <w:rPr>
                <w:rFonts w:ascii="Arial" w:hAnsi="Arial" w:cs="Arial"/>
                <w:b/>
              </w:rPr>
              <w:t>1,980</w:t>
            </w:r>
          </w:p>
        </w:tc>
      </w:tr>
    </w:tbl>
    <w:p w14:paraId="0A6ABD91" w14:textId="2EBB2A94" w:rsidR="00AE66C2" w:rsidRDefault="00AE66C2" w:rsidP="0004731E"/>
    <w:sectPr w:rsidR="00AE66C2" w:rsidSect="00F25DF2">
      <w:footerReference w:type="default" r:id="rId16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32C5" w14:textId="77777777" w:rsidR="007F56BC" w:rsidRDefault="007F56BC" w:rsidP="00CD68B1">
      <w:r>
        <w:separator/>
      </w:r>
    </w:p>
  </w:endnote>
  <w:endnote w:type="continuationSeparator" w:id="0">
    <w:p w14:paraId="1348A08F" w14:textId="77777777" w:rsidR="007F56BC" w:rsidRDefault="007F56B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4C510" w14:textId="2688F276" w:rsidR="007F56BC" w:rsidRDefault="007F5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D28CC" w14:textId="4ADF9931" w:rsidR="007F56BC" w:rsidRPr="00004FB6" w:rsidRDefault="007F56B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5A18E" w14:textId="77777777" w:rsidR="007F56BC" w:rsidRDefault="007F56BC" w:rsidP="00CD68B1">
      <w:r>
        <w:separator/>
      </w:r>
    </w:p>
  </w:footnote>
  <w:footnote w:type="continuationSeparator" w:id="0">
    <w:p w14:paraId="3A6CE765" w14:textId="77777777" w:rsidR="007F56BC" w:rsidRDefault="007F56B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0F93"/>
    <w:multiLevelType w:val="hybridMultilevel"/>
    <w:tmpl w:val="F770212C"/>
    <w:lvl w:ilvl="0" w:tplc="C7D84F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64011"/>
    <w:multiLevelType w:val="hybridMultilevel"/>
    <w:tmpl w:val="6F4418D2"/>
    <w:lvl w:ilvl="0" w:tplc="2578F9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2E90"/>
    <w:rsid w:val="00004FB6"/>
    <w:rsid w:val="00005E6C"/>
    <w:rsid w:val="0001154A"/>
    <w:rsid w:val="000315F8"/>
    <w:rsid w:val="00034082"/>
    <w:rsid w:val="0004399F"/>
    <w:rsid w:val="000457FC"/>
    <w:rsid w:val="0004731E"/>
    <w:rsid w:val="000473C9"/>
    <w:rsid w:val="00047ADE"/>
    <w:rsid w:val="000501F0"/>
    <w:rsid w:val="00052324"/>
    <w:rsid w:val="000557F9"/>
    <w:rsid w:val="00057534"/>
    <w:rsid w:val="00057A74"/>
    <w:rsid w:val="000608F4"/>
    <w:rsid w:val="00063367"/>
    <w:rsid w:val="00072572"/>
    <w:rsid w:val="00083F16"/>
    <w:rsid w:val="00086D63"/>
    <w:rsid w:val="000911E2"/>
    <w:rsid w:val="000A25FC"/>
    <w:rsid w:val="000B25ED"/>
    <w:rsid w:val="000B5413"/>
    <w:rsid w:val="000C37C2"/>
    <w:rsid w:val="000C4633"/>
    <w:rsid w:val="000C4CF8"/>
    <w:rsid w:val="000C4D50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50ED8"/>
    <w:rsid w:val="001819D0"/>
    <w:rsid w:val="001849D6"/>
    <w:rsid w:val="00185F3D"/>
    <w:rsid w:val="00193A6F"/>
    <w:rsid w:val="0019769C"/>
    <w:rsid w:val="001B794A"/>
    <w:rsid w:val="001C0013"/>
    <w:rsid w:val="001C11C7"/>
    <w:rsid w:val="001C172A"/>
    <w:rsid w:val="001C1EF7"/>
    <w:rsid w:val="001C686D"/>
    <w:rsid w:val="001D0B07"/>
    <w:rsid w:val="001E2649"/>
    <w:rsid w:val="001E7B91"/>
    <w:rsid w:val="001F3BAC"/>
    <w:rsid w:val="00232CF5"/>
    <w:rsid w:val="00233352"/>
    <w:rsid w:val="00240F98"/>
    <w:rsid w:val="00254A66"/>
    <w:rsid w:val="00257811"/>
    <w:rsid w:val="00262114"/>
    <w:rsid w:val="002622B6"/>
    <w:rsid w:val="00267F85"/>
    <w:rsid w:val="002726F9"/>
    <w:rsid w:val="002856C3"/>
    <w:rsid w:val="0029360D"/>
    <w:rsid w:val="002954A6"/>
    <w:rsid w:val="002962F2"/>
    <w:rsid w:val="002B3394"/>
    <w:rsid w:val="002D0A33"/>
    <w:rsid w:val="002D22A0"/>
    <w:rsid w:val="002D553C"/>
    <w:rsid w:val="002E686F"/>
    <w:rsid w:val="002F6FB5"/>
    <w:rsid w:val="0031195C"/>
    <w:rsid w:val="00320C3A"/>
    <w:rsid w:val="0032482E"/>
    <w:rsid w:val="00337056"/>
    <w:rsid w:val="00337DEB"/>
    <w:rsid w:val="003402D1"/>
    <w:rsid w:val="00350F0F"/>
    <w:rsid w:val="00351952"/>
    <w:rsid w:val="00352C9F"/>
    <w:rsid w:val="0035458B"/>
    <w:rsid w:val="00366499"/>
    <w:rsid w:val="00380103"/>
    <w:rsid w:val="00380587"/>
    <w:rsid w:val="003822C1"/>
    <w:rsid w:val="00390402"/>
    <w:rsid w:val="003957BD"/>
    <w:rsid w:val="003961A3"/>
    <w:rsid w:val="003B3C34"/>
    <w:rsid w:val="003B5C5D"/>
    <w:rsid w:val="003B6371"/>
    <w:rsid w:val="003C79F6"/>
    <w:rsid w:val="003D198D"/>
    <w:rsid w:val="003D2143"/>
    <w:rsid w:val="003E080B"/>
    <w:rsid w:val="003E62C2"/>
    <w:rsid w:val="003F4C0E"/>
    <w:rsid w:val="003F7BE2"/>
    <w:rsid w:val="00402EED"/>
    <w:rsid w:val="00403B4D"/>
    <w:rsid w:val="004107D2"/>
    <w:rsid w:val="00415EE0"/>
    <w:rsid w:val="00423264"/>
    <w:rsid w:val="00435936"/>
    <w:rsid w:val="004400B8"/>
    <w:rsid w:val="00456ABA"/>
    <w:rsid w:val="00456B59"/>
    <w:rsid w:val="004642B2"/>
    <w:rsid w:val="004642BC"/>
    <w:rsid w:val="004667CF"/>
    <w:rsid w:val="004667DB"/>
    <w:rsid w:val="00481041"/>
    <w:rsid w:val="0049188F"/>
    <w:rsid w:val="00492683"/>
    <w:rsid w:val="00496D7D"/>
    <w:rsid w:val="004A5235"/>
    <w:rsid w:val="004B3C35"/>
    <w:rsid w:val="004C5467"/>
    <w:rsid w:val="004D053F"/>
    <w:rsid w:val="004D0A96"/>
    <w:rsid w:val="004D3FC1"/>
    <w:rsid w:val="004E5349"/>
    <w:rsid w:val="004E5B85"/>
    <w:rsid w:val="004F1BD9"/>
    <w:rsid w:val="004F36D5"/>
    <w:rsid w:val="004F6468"/>
    <w:rsid w:val="00501685"/>
    <w:rsid w:val="00503380"/>
    <w:rsid w:val="00530007"/>
    <w:rsid w:val="00540101"/>
    <w:rsid w:val="00540319"/>
    <w:rsid w:val="00541F7B"/>
    <w:rsid w:val="00551C39"/>
    <w:rsid w:val="00557E19"/>
    <w:rsid w:val="00557E9F"/>
    <w:rsid w:val="0056652E"/>
    <w:rsid w:val="005710AB"/>
    <w:rsid w:val="005832BE"/>
    <w:rsid w:val="0058583E"/>
    <w:rsid w:val="00597346"/>
    <w:rsid w:val="005A04D4"/>
    <w:rsid w:val="005A2272"/>
    <w:rsid w:val="005A25B5"/>
    <w:rsid w:val="005A3451"/>
    <w:rsid w:val="005B0B52"/>
    <w:rsid w:val="005D06F3"/>
    <w:rsid w:val="005E2CF9"/>
    <w:rsid w:val="005E54F3"/>
    <w:rsid w:val="00601130"/>
    <w:rsid w:val="00611495"/>
    <w:rsid w:val="00620176"/>
    <w:rsid w:val="00624BC3"/>
    <w:rsid w:val="00626887"/>
    <w:rsid w:val="00630044"/>
    <w:rsid w:val="006304C6"/>
    <w:rsid w:val="00630BE0"/>
    <w:rsid w:val="00636313"/>
    <w:rsid w:val="00636F61"/>
    <w:rsid w:val="006677BB"/>
    <w:rsid w:val="00683A3C"/>
    <w:rsid w:val="006A14E9"/>
    <w:rsid w:val="006A34D1"/>
    <w:rsid w:val="006B29EB"/>
    <w:rsid w:val="006B358C"/>
    <w:rsid w:val="006C7C85"/>
    <w:rsid w:val="006D447D"/>
    <w:rsid w:val="006D5E63"/>
    <w:rsid w:val="006E6C0F"/>
    <w:rsid w:val="006E72A9"/>
    <w:rsid w:val="006F0B6A"/>
    <w:rsid w:val="006F2883"/>
    <w:rsid w:val="00700CA9"/>
    <w:rsid w:val="00700EB0"/>
    <w:rsid w:val="007077C4"/>
    <w:rsid w:val="0071315C"/>
    <w:rsid w:val="0072421A"/>
    <w:rsid w:val="007312AA"/>
    <w:rsid w:val="007335B7"/>
    <w:rsid w:val="00741BA2"/>
    <w:rsid w:val="00743BF3"/>
    <w:rsid w:val="00746605"/>
    <w:rsid w:val="00762523"/>
    <w:rsid w:val="00763446"/>
    <w:rsid w:val="00765EFB"/>
    <w:rsid w:val="00766387"/>
    <w:rsid w:val="00767E1D"/>
    <w:rsid w:val="00772944"/>
    <w:rsid w:val="00794CEE"/>
    <w:rsid w:val="00797116"/>
    <w:rsid w:val="007A2742"/>
    <w:rsid w:val="007B141B"/>
    <w:rsid w:val="007B228E"/>
    <w:rsid w:val="007C1355"/>
    <w:rsid w:val="007C2B91"/>
    <w:rsid w:val="007C4F4A"/>
    <w:rsid w:val="007C6514"/>
    <w:rsid w:val="007C749E"/>
    <w:rsid w:val="007F07DC"/>
    <w:rsid w:val="007F0B6D"/>
    <w:rsid w:val="007F271A"/>
    <w:rsid w:val="007F3C16"/>
    <w:rsid w:val="007F56BC"/>
    <w:rsid w:val="008028B3"/>
    <w:rsid w:val="00827203"/>
    <w:rsid w:val="0083561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3A81"/>
    <w:rsid w:val="008F69EC"/>
    <w:rsid w:val="008F769B"/>
    <w:rsid w:val="009021E8"/>
    <w:rsid w:val="00902229"/>
    <w:rsid w:val="009079EE"/>
    <w:rsid w:val="00914D6D"/>
    <w:rsid w:val="00915380"/>
    <w:rsid w:val="00917D70"/>
    <w:rsid w:val="009242F1"/>
    <w:rsid w:val="00972129"/>
    <w:rsid w:val="00972F8C"/>
    <w:rsid w:val="0097498B"/>
    <w:rsid w:val="00974F76"/>
    <w:rsid w:val="00975740"/>
    <w:rsid w:val="009762C4"/>
    <w:rsid w:val="00992C5E"/>
    <w:rsid w:val="009B1AE4"/>
    <w:rsid w:val="009C5622"/>
    <w:rsid w:val="009D0FC8"/>
    <w:rsid w:val="009D35AD"/>
    <w:rsid w:val="009E7A9D"/>
    <w:rsid w:val="009F1341"/>
    <w:rsid w:val="009F480D"/>
    <w:rsid w:val="00A00036"/>
    <w:rsid w:val="00A13FBB"/>
    <w:rsid w:val="00A15672"/>
    <w:rsid w:val="00A17C05"/>
    <w:rsid w:val="00A24C51"/>
    <w:rsid w:val="00A26306"/>
    <w:rsid w:val="00A32773"/>
    <w:rsid w:val="00A33F73"/>
    <w:rsid w:val="00A37195"/>
    <w:rsid w:val="00A37D2D"/>
    <w:rsid w:val="00A439AF"/>
    <w:rsid w:val="00A47C06"/>
    <w:rsid w:val="00A57107"/>
    <w:rsid w:val="00A60ECF"/>
    <w:rsid w:val="00A6273A"/>
    <w:rsid w:val="00A6366C"/>
    <w:rsid w:val="00A66FE5"/>
    <w:rsid w:val="00A7544E"/>
    <w:rsid w:val="00A75F19"/>
    <w:rsid w:val="00A77153"/>
    <w:rsid w:val="00A8709B"/>
    <w:rsid w:val="00AB5B2A"/>
    <w:rsid w:val="00AC152B"/>
    <w:rsid w:val="00AE5C23"/>
    <w:rsid w:val="00AE66C2"/>
    <w:rsid w:val="00AE77EC"/>
    <w:rsid w:val="00AE78F2"/>
    <w:rsid w:val="00AF522D"/>
    <w:rsid w:val="00B01C9A"/>
    <w:rsid w:val="00B13714"/>
    <w:rsid w:val="00B17B33"/>
    <w:rsid w:val="00B31AA4"/>
    <w:rsid w:val="00B3409B"/>
    <w:rsid w:val="00B369C7"/>
    <w:rsid w:val="00B36BB9"/>
    <w:rsid w:val="00B428E2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7EF1"/>
    <w:rsid w:val="00B9382E"/>
    <w:rsid w:val="00BA3C3E"/>
    <w:rsid w:val="00BB1064"/>
    <w:rsid w:val="00BB1904"/>
    <w:rsid w:val="00BB6DB0"/>
    <w:rsid w:val="00BC1B69"/>
    <w:rsid w:val="00BC7733"/>
    <w:rsid w:val="00BE3670"/>
    <w:rsid w:val="00BE5292"/>
    <w:rsid w:val="00BE5BCA"/>
    <w:rsid w:val="00C00F3C"/>
    <w:rsid w:val="00C04C4C"/>
    <w:rsid w:val="00C068B2"/>
    <w:rsid w:val="00C102E1"/>
    <w:rsid w:val="00C14FAE"/>
    <w:rsid w:val="00C20EB1"/>
    <w:rsid w:val="00C2425C"/>
    <w:rsid w:val="00C26CBD"/>
    <w:rsid w:val="00C32D5C"/>
    <w:rsid w:val="00C34113"/>
    <w:rsid w:val="00C35120"/>
    <w:rsid w:val="00C364A2"/>
    <w:rsid w:val="00C467C0"/>
    <w:rsid w:val="00C473CF"/>
    <w:rsid w:val="00C47C93"/>
    <w:rsid w:val="00C6765D"/>
    <w:rsid w:val="00C70B05"/>
    <w:rsid w:val="00C72CB3"/>
    <w:rsid w:val="00C73995"/>
    <w:rsid w:val="00C77968"/>
    <w:rsid w:val="00C8030B"/>
    <w:rsid w:val="00CA1AF5"/>
    <w:rsid w:val="00CD2230"/>
    <w:rsid w:val="00CD68B1"/>
    <w:rsid w:val="00CE1584"/>
    <w:rsid w:val="00CE173D"/>
    <w:rsid w:val="00CF011B"/>
    <w:rsid w:val="00CF02DE"/>
    <w:rsid w:val="00CF1B9B"/>
    <w:rsid w:val="00CF2513"/>
    <w:rsid w:val="00D11A2D"/>
    <w:rsid w:val="00D2104A"/>
    <w:rsid w:val="00D26596"/>
    <w:rsid w:val="00D309A5"/>
    <w:rsid w:val="00D35464"/>
    <w:rsid w:val="00D370F4"/>
    <w:rsid w:val="00D46E95"/>
    <w:rsid w:val="00D504EA"/>
    <w:rsid w:val="00D51EA2"/>
    <w:rsid w:val="00D53C59"/>
    <w:rsid w:val="00D82BE6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26103"/>
    <w:rsid w:val="00E27FE3"/>
    <w:rsid w:val="00E34A8F"/>
    <w:rsid w:val="00E354EA"/>
    <w:rsid w:val="00E35628"/>
    <w:rsid w:val="00E458E7"/>
    <w:rsid w:val="00E5066A"/>
    <w:rsid w:val="00E5223C"/>
    <w:rsid w:val="00E5377F"/>
    <w:rsid w:val="00E84E2A"/>
    <w:rsid w:val="00E865E4"/>
    <w:rsid w:val="00E96E48"/>
    <w:rsid w:val="00EB090F"/>
    <w:rsid w:val="00EB7216"/>
    <w:rsid w:val="00EC5FE5"/>
    <w:rsid w:val="00ED0F8C"/>
    <w:rsid w:val="00EE4D95"/>
    <w:rsid w:val="00EE50D0"/>
    <w:rsid w:val="00EF0CA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61EAB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endowmentfoundation.org.uk/education-evidence/guidance-reports/early-maths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education-evidence/guidance-reports/literacy-k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ae6ca9-b18b-49a6-bdfe-0a20c49a9ba9"/>
    <ds:schemaRef ds:uri="b8cb3cbd-ce5c-4a72-9da4-9013f91c590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A2EE1C-C7C1-4ECF-A1CC-48474A8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Vincent Jones</dc:creator>
  <cp:lastModifiedBy>sch8753157</cp:lastModifiedBy>
  <cp:revision>35</cp:revision>
  <cp:lastPrinted>2019-06-17T13:30:00Z</cp:lastPrinted>
  <dcterms:created xsi:type="dcterms:W3CDTF">2020-12-14T12:39:00Z</dcterms:created>
  <dcterms:modified xsi:type="dcterms:W3CDTF">2021-12-02T10:30:00Z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