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1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953"/>
        <w:gridCol w:w="34"/>
        <w:gridCol w:w="8330"/>
      </w:tblGrid>
      <w:tr w:rsidR="000527BE" w:rsidRPr="009C26E1" w:rsidTr="00905547">
        <w:trPr>
          <w:trHeight w:val="27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0527BE" w:rsidRPr="009C26E1" w:rsidRDefault="000527BE" w:rsidP="00905547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</w:rPr>
              <w:t>YEAR 2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7BE" w:rsidRPr="009C26E1" w:rsidRDefault="000527BE" w:rsidP="0090554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Summer 1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7BE" w:rsidRPr="009C26E1" w:rsidRDefault="000527BE" w:rsidP="0090554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Summer 2</w:t>
            </w:r>
          </w:p>
        </w:tc>
      </w:tr>
      <w:tr w:rsidR="000527BE" w:rsidRPr="00030C88" w:rsidTr="00113E5D">
        <w:trPr>
          <w:trHeight w:val="41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527BE" w:rsidRPr="009C26E1" w:rsidRDefault="000527BE" w:rsidP="0090554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Cornerstones ILP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C000"/>
          </w:tcPr>
          <w:p w:rsidR="00113E5D" w:rsidRPr="0042646D" w:rsidRDefault="00113E5D" w:rsidP="00113E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Muck, Mess and Mixtures</w:t>
            </w:r>
          </w:p>
          <w:p w:rsidR="000527BE" w:rsidRDefault="00113E5D" w:rsidP="00113E5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focus this term is art, D&amp;T and science.  The children will be making biscuits and cakes, learning about changes of state</w:t>
            </w:r>
            <w:r w:rsidR="00FE18C7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creating mixed media pictures as well as clay models.</w:t>
            </w:r>
          </w:p>
          <w:p w:rsidR="00FE18C7" w:rsidRPr="00FB5E5D" w:rsidRDefault="00FE18C7" w:rsidP="00113E5D">
            <w:pPr>
              <w:spacing w:after="0" w:line="240" w:lineRule="auto"/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FE18C7">
              <w:rPr>
                <w:rFonts w:ascii="Arial" w:hAnsi="Arial" w:cs="Arial"/>
                <w:b/>
                <w:color w:val="000000"/>
                <w:sz w:val="16"/>
                <w:szCs w:val="16"/>
              </w:rPr>
              <w:t>Focus Text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George’s Marvellous Medicine.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527BE" w:rsidRDefault="00865FAD" w:rsidP="00865F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65FAD">
              <w:rPr>
                <w:rFonts w:ascii="Arial" w:hAnsi="Arial" w:cs="Arial"/>
                <w:b/>
                <w:sz w:val="16"/>
                <w:szCs w:val="16"/>
                <w:u w:val="single"/>
              </w:rPr>
              <w:t>The Scented Garden</w:t>
            </w:r>
          </w:p>
          <w:p w:rsidR="00865FAD" w:rsidRDefault="00865FAD" w:rsidP="004D40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focus this term</w:t>
            </w:r>
            <w:r w:rsidR="004D4067">
              <w:rPr>
                <w:rFonts w:ascii="Arial" w:hAnsi="Arial" w:cs="Arial"/>
                <w:sz w:val="16"/>
                <w:szCs w:val="16"/>
              </w:rPr>
              <w:t xml:space="preserve"> is science – looking at how plants grow in different environments. </w:t>
            </w:r>
          </w:p>
          <w:p w:rsidR="004D4067" w:rsidRDefault="004D4067" w:rsidP="004D40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D4067" w:rsidRPr="00865FAD" w:rsidRDefault="004D4067" w:rsidP="004D40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4067">
              <w:rPr>
                <w:rFonts w:ascii="Arial" w:hAnsi="Arial" w:cs="Arial"/>
                <w:b/>
                <w:sz w:val="16"/>
                <w:szCs w:val="16"/>
              </w:rPr>
              <w:t>Focus Text</w:t>
            </w:r>
            <w:r>
              <w:rPr>
                <w:rFonts w:ascii="Arial" w:hAnsi="Arial" w:cs="Arial"/>
                <w:sz w:val="16"/>
                <w:szCs w:val="16"/>
              </w:rPr>
              <w:t xml:space="preserve"> – The King of Tiny Things and The Bog Baby.</w:t>
            </w:r>
          </w:p>
        </w:tc>
      </w:tr>
      <w:tr w:rsidR="000527BE" w:rsidRPr="00030C88" w:rsidTr="00905547">
        <w:trPr>
          <w:trHeight w:val="1493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527BE" w:rsidRPr="009C26E1" w:rsidRDefault="000527BE" w:rsidP="0090554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English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527BE" w:rsidRPr="00030C88" w:rsidRDefault="000527BE" w:rsidP="0090554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C26E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WRITE TO </w:t>
            </w:r>
            <w:r w:rsidR="004D4067">
              <w:rPr>
                <w:rFonts w:ascii="Arial" w:hAnsi="Arial" w:cs="Arial"/>
                <w:b/>
                <w:sz w:val="16"/>
                <w:szCs w:val="16"/>
                <w:u w:val="single"/>
              </w:rPr>
              <w:t>ENTERTAIN</w:t>
            </w:r>
          </w:p>
          <w:p w:rsidR="000527BE" w:rsidRDefault="000527BE" w:rsidP="0090554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527BE" w:rsidRDefault="00AD1167" w:rsidP="004D40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Adventure stories </w:t>
            </w:r>
            <w:r>
              <w:rPr>
                <w:rFonts w:ascii="Arial" w:hAnsi="Arial" w:cs="Arial"/>
                <w:sz w:val="16"/>
                <w:szCs w:val="16"/>
              </w:rPr>
              <w:t>– the children will retell and reinvent adventure stories.</w:t>
            </w:r>
          </w:p>
          <w:p w:rsidR="00AD1167" w:rsidRDefault="00AD1167" w:rsidP="00AD11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3559E" w:rsidRDefault="0023559E" w:rsidP="0023559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2B7F18">
              <w:rPr>
                <w:rFonts w:ascii="Arial" w:hAnsi="Arial" w:cs="Arial"/>
                <w:b/>
                <w:sz w:val="16"/>
                <w:szCs w:val="16"/>
              </w:rPr>
              <w:t>Character descriptions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 w:rsidRPr="0023559E">
              <w:rPr>
                <w:rFonts w:ascii="Arial" w:hAnsi="Arial" w:cs="Arial"/>
                <w:sz w:val="16"/>
                <w:szCs w:val="16"/>
              </w:rPr>
              <w:t>The children will describe imaginary characters.</w:t>
            </w:r>
          </w:p>
          <w:p w:rsidR="0023559E" w:rsidRDefault="0023559E" w:rsidP="0023559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559E" w:rsidRDefault="0023559E" w:rsidP="002355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465AD">
              <w:rPr>
                <w:rFonts w:ascii="Arial" w:hAnsi="Arial" w:cs="Arial"/>
                <w:b/>
                <w:sz w:val="16"/>
                <w:szCs w:val="16"/>
              </w:rPr>
              <w:t xml:space="preserve">Setting Descriptions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B465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3559E">
              <w:rPr>
                <w:rFonts w:ascii="Arial" w:hAnsi="Arial" w:cs="Arial"/>
                <w:sz w:val="16"/>
                <w:szCs w:val="16"/>
              </w:rPr>
              <w:t>The children will describe different imaginary settings.</w:t>
            </w:r>
          </w:p>
          <w:p w:rsidR="0023559E" w:rsidRDefault="0023559E" w:rsidP="002355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3559E" w:rsidRPr="0023559E" w:rsidRDefault="0023559E" w:rsidP="002355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559E">
              <w:rPr>
                <w:rFonts w:ascii="Arial" w:hAnsi="Arial" w:cs="Arial"/>
                <w:b/>
                <w:sz w:val="16"/>
                <w:szCs w:val="16"/>
              </w:rPr>
              <w:t>Drama and Role Play</w:t>
            </w:r>
            <w:r>
              <w:rPr>
                <w:rFonts w:ascii="Arial" w:hAnsi="Arial" w:cs="Arial"/>
                <w:sz w:val="16"/>
                <w:szCs w:val="16"/>
              </w:rPr>
              <w:t xml:space="preserve"> – hot seating, freeze frames, living museums.</w:t>
            </w:r>
          </w:p>
          <w:p w:rsidR="00AD1167" w:rsidRPr="00AD1167" w:rsidRDefault="00AD1167" w:rsidP="00AD11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527BE" w:rsidRPr="00030C88" w:rsidRDefault="000527BE" w:rsidP="009055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C26E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WRITE TO </w:t>
            </w:r>
            <w:r w:rsidR="004D4067">
              <w:rPr>
                <w:rFonts w:ascii="Arial" w:hAnsi="Arial" w:cs="Arial"/>
                <w:b/>
                <w:sz w:val="16"/>
                <w:szCs w:val="16"/>
                <w:u w:val="single"/>
              </w:rPr>
              <w:t>INFORM</w:t>
            </w:r>
          </w:p>
          <w:p w:rsidR="000527BE" w:rsidRPr="00030C88" w:rsidRDefault="000527BE" w:rsidP="009055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75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30C88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  <w:p w:rsidR="000527BE" w:rsidRPr="00B037F9" w:rsidRDefault="0023559E" w:rsidP="002355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Instructions and Recipes – </w:t>
            </w:r>
            <w:r w:rsidRPr="0023559E">
              <w:rPr>
                <w:rFonts w:ascii="Arial" w:hAnsi="Arial" w:cs="Arial"/>
                <w:sz w:val="16"/>
                <w:szCs w:val="16"/>
              </w:rPr>
              <w:t>linked to our ‘Muck, Mess and Mixtures’ topic, the children will write recipes and instructions for baking cakes and looking after plants.</w:t>
            </w:r>
          </w:p>
        </w:tc>
      </w:tr>
      <w:tr w:rsidR="000527BE" w:rsidRPr="00030C88" w:rsidTr="00905547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527BE" w:rsidRPr="009C26E1" w:rsidRDefault="000527BE" w:rsidP="0090554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Grammar and punctuation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527BE" w:rsidRPr="00030C88" w:rsidRDefault="000527BE" w:rsidP="009055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030C88">
              <w:rPr>
                <w:rFonts w:ascii="Arial" w:hAnsi="Arial" w:cs="Arial"/>
                <w:sz w:val="16"/>
                <w:szCs w:val="16"/>
              </w:rPr>
              <w:t>onjunctions</w:t>
            </w:r>
          </w:p>
          <w:p w:rsidR="000527BE" w:rsidRPr="00030C88" w:rsidRDefault="000527BE" w:rsidP="009055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t xml:space="preserve">Present and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030C88">
              <w:rPr>
                <w:rFonts w:ascii="Arial" w:hAnsi="Arial" w:cs="Arial"/>
                <w:sz w:val="16"/>
                <w:szCs w:val="16"/>
              </w:rPr>
              <w:t>ast progressive</w:t>
            </w:r>
          </w:p>
          <w:p w:rsidR="000527BE" w:rsidRPr="00030C88" w:rsidRDefault="000527BE" w:rsidP="009055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Commas</w:t>
            </w:r>
          </w:p>
          <w:p w:rsidR="000527BE" w:rsidRPr="00030C88" w:rsidRDefault="000527BE" w:rsidP="009055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Apostrophe for possession</w:t>
            </w:r>
          </w:p>
          <w:p w:rsidR="000527BE" w:rsidRPr="00030C88" w:rsidRDefault="000527BE" w:rsidP="009055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Speech marks</w:t>
            </w:r>
          </w:p>
          <w:p w:rsidR="000527BE" w:rsidRPr="00030C88" w:rsidRDefault="000527BE" w:rsidP="009055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 marks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527BE" w:rsidRPr="009B3B73" w:rsidRDefault="000527BE" w:rsidP="009055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3B73">
              <w:rPr>
                <w:rFonts w:ascii="Arial" w:hAnsi="Arial" w:cs="Arial"/>
                <w:sz w:val="16"/>
                <w:szCs w:val="16"/>
              </w:rPr>
              <w:t>Noun phrases</w:t>
            </w:r>
          </w:p>
          <w:p w:rsidR="000527BE" w:rsidRPr="009B3B73" w:rsidRDefault="000527BE" w:rsidP="009055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3B73">
              <w:rPr>
                <w:rFonts w:ascii="Arial" w:hAnsi="Arial" w:cs="Arial"/>
                <w:sz w:val="16"/>
                <w:szCs w:val="16"/>
              </w:rPr>
              <w:t>Speech marks</w:t>
            </w:r>
          </w:p>
          <w:p w:rsidR="000527BE" w:rsidRPr="009B3B73" w:rsidRDefault="000527BE" w:rsidP="009055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Contractions</w:t>
            </w:r>
          </w:p>
          <w:p w:rsidR="000527BE" w:rsidRPr="00B15CDB" w:rsidRDefault="000527BE" w:rsidP="009055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Suffixes and prefixes</w:t>
            </w:r>
          </w:p>
          <w:p w:rsidR="000527BE" w:rsidRPr="00030C88" w:rsidRDefault="000527BE" w:rsidP="009055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Compound words</w:t>
            </w:r>
          </w:p>
        </w:tc>
      </w:tr>
      <w:tr w:rsidR="000527BE" w:rsidRPr="00030C88" w:rsidTr="00905547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527BE" w:rsidRPr="009C26E1" w:rsidRDefault="000527BE" w:rsidP="0090554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Spelling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527BE" w:rsidRPr="00030C88" w:rsidRDefault="000527BE" w:rsidP="009055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Year 2 </w:t>
            </w:r>
            <w:r w:rsidRPr="00030C88">
              <w:rPr>
                <w:rFonts w:ascii="Arial" w:hAnsi="Arial" w:cs="Arial"/>
                <w:sz w:val="16"/>
                <w:szCs w:val="16"/>
                <w:u w:val="single"/>
              </w:rPr>
              <w:t>statutory words</w:t>
            </w:r>
          </w:p>
          <w:p w:rsidR="000527BE" w:rsidRPr="008734CD" w:rsidRDefault="000527BE" w:rsidP="00905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4CD">
              <w:rPr>
                <w:rFonts w:ascii="Arial" w:hAnsi="Arial" w:cs="Arial"/>
                <w:sz w:val="16"/>
                <w:szCs w:val="16"/>
              </w:rPr>
              <w:t>Apostrophes for contraction</w:t>
            </w:r>
          </w:p>
          <w:p w:rsidR="000527BE" w:rsidRPr="008734CD" w:rsidRDefault="000527BE" w:rsidP="00905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4CD">
              <w:rPr>
                <w:rFonts w:ascii="Arial" w:hAnsi="Arial" w:cs="Arial"/>
                <w:sz w:val="16"/>
                <w:szCs w:val="16"/>
              </w:rPr>
              <w:t>Words with silent letters</w:t>
            </w:r>
          </w:p>
          <w:p w:rsidR="000527BE" w:rsidRPr="00030C88" w:rsidRDefault="000527BE" w:rsidP="009055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734CD">
              <w:rPr>
                <w:rFonts w:ascii="Arial" w:hAnsi="Arial" w:cs="Arial"/>
                <w:sz w:val="16"/>
                <w:szCs w:val="16"/>
              </w:rPr>
              <w:t>Plurals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527BE" w:rsidRPr="0042646D" w:rsidRDefault="000527BE" w:rsidP="009055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2646D">
              <w:rPr>
                <w:rFonts w:ascii="Arial" w:hAnsi="Arial" w:cs="Arial"/>
                <w:sz w:val="16"/>
                <w:szCs w:val="16"/>
                <w:u w:val="single"/>
              </w:rPr>
              <w:t>Year 2 statutory words</w:t>
            </w:r>
          </w:p>
          <w:p w:rsidR="000527BE" w:rsidRPr="008734CD" w:rsidRDefault="000527BE" w:rsidP="00905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4CD">
              <w:rPr>
                <w:rFonts w:ascii="Arial" w:hAnsi="Arial" w:cs="Arial"/>
                <w:sz w:val="16"/>
                <w:szCs w:val="16"/>
              </w:rPr>
              <w:t>Prefixes –</w:t>
            </w:r>
            <w:r>
              <w:rPr>
                <w:rFonts w:ascii="Arial" w:hAnsi="Arial" w:cs="Arial"/>
                <w:sz w:val="16"/>
                <w:szCs w:val="16"/>
              </w:rPr>
              <w:t>un and dis</w:t>
            </w:r>
          </w:p>
          <w:p w:rsidR="000527BE" w:rsidRDefault="000527BE" w:rsidP="00905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Suffixes –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ness</w:t>
            </w:r>
          </w:p>
          <w:p w:rsidR="0017087B" w:rsidRPr="008734CD" w:rsidRDefault="0017087B" w:rsidP="00905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Apostrophes for possession</w:t>
            </w:r>
          </w:p>
          <w:p w:rsidR="000527BE" w:rsidRPr="00030C88" w:rsidRDefault="000527BE" w:rsidP="009055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0527BE" w:rsidRPr="00030C88" w:rsidTr="00905547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527BE" w:rsidRPr="009C26E1" w:rsidRDefault="000527BE" w:rsidP="0090554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6"/>
              </w:rPr>
              <w:t>Time to Read</w:t>
            </w:r>
          </w:p>
        </w:tc>
        <w:tc>
          <w:tcPr>
            <w:tcW w:w="14317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527BE" w:rsidRDefault="000527BE" w:rsidP="0090554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 to Read morning carousel will continue next term.  Each group works on an activity listed below and all will be completed during the week.</w:t>
            </w:r>
          </w:p>
          <w:p w:rsidR="000527BE" w:rsidRDefault="000527BE" w:rsidP="0090554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3D73">
              <w:rPr>
                <w:rFonts w:ascii="Arial" w:hAnsi="Arial" w:cs="Arial"/>
                <w:b/>
                <w:sz w:val="16"/>
                <w:szCs w:val="16"/>
              </w:rPr>
              <w:t>Guided Reading</w:t>
            </w:r>
            <w:r>
              <w:rPr>
                <w:rFonts w:ascii="Arial" w:hAnsi="Arial" w:cs="Arial"/>
                <w:sz w:val="16"/>
                <w:szCs w:val="16"/>
              </w:rPr>
              <w:t xml:space="preserve"> with a teacher – past SATs papers with a focus on reading comprehension.</w:t>
            </w:r>
          </w:p>
          <w:p w:rsidR="000527BE" w:rsidRDefault="000527BE" w:rsidP="0090554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3D73">
              <w:rPr>
                <w:rFonts w:ascii="Arial" w:hAnsi="Arial" w:cs="Arial"/>
                <w:b/>
                <w:sz w:val="16"/>
                <w:szCs w:val="16"/>
              </w:rPr>
              <w:t>Phonics activity</w:t>
            </w:r>
            <w:r>
              <w:rPr>
                <w:rFonts w:ascii="Arial" w:hAnsi="Arial" w:cs="Arial"/>
                <w:sz w:val="16"/>
                <w:szCs w:val="16"/>
              </w:rPr>
              <w:t xml:space="preserve"> – spelling pattern games.</w:t>
            </w:r>
          </w:p>
          <w:p w:rsidR="000527BE" w:rsidRDefault="000527BE" w:rsidP="0090554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3D73">
              <w:rPr>
                <w:rFonts w:ascii="Arial" w:hAnsi="Arial" w:cs="Arial"/>
                <w:b/>
                <w:sz w:val="16"/>
                <w:szCs w:val="16"/>
              </w:rPr>
              <w:t>Spelling activity</w:t>
            </w:r>
            <w:r>
              <w:rPr>
                <w:rFonts w:ascii="Arial" w:hAnsi="Arial" w:cs="Arial"/>
                <w:sz w:val="16"/>
                <w:szCs w:val="16"/>
              </w:rPr>
              <w:t xml:space="preserve"> – practising the weekly spellings independently.</w:t>
            </w:r>
          </w:p>
          <w:p w:rsidR="000527BE" w:rsidRDefault="000527BE" w:rsidP="0090554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3D73">
              <w:rPr>
                <w:rFonts w:ascii="Arial" w:hAnsi="Arial" w:cs="Arial"/>
                <w:b/>
                <w:sz w:val="16"/>
                <w:szCs w:val="16"/>
              </w:rPr>
              <w:t>Handwriting</w:t>
            </w:r>
            <w:r>
              <w:rPr>
                <w:rFonts w:ascii="Arial" w:hAnsi="Arial" w:cs="Arial"/>
                <w:sz w:val="16"/>
                <w:szCs w:val="16"/>
              </w:rPr>
              <w:t xml:space="preserve"> – independent handwriting practise.</w:t>
            </w:r>
          </w:p>
          <w:p w:rsidR="000527BE" w:rsidRPr="00030C88" w:rsidRDefault="000527BE" w:rsidP="0090554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13D73">
              <w:rPr>
                <w:rFonts w:ascii="Arial" w:hAnsi="Arial" w:cs="Arial"/>
                <w:b/>
                <w:sz w:val="16"/>
                <w:szCs w:val="16"/>
              </w:rPr>
              <w:t>Reading comprehension</w:t>
            </w:r>
            <w:r>
              <w:rPr>
                <w:rFonts w:ascii="Arial" w:hAnsi="Arial" w:cs="Arial"/>
                <w:sz w:val="16"/>
                <w:szCs w:val="16"/>
              </w:rPr>
              <w:t xml:space="preserve"> – short comprehension activity to be done independently,</w:t>
            </w:r>
          </w:p>
        </w:tc>
      </w:tr>
      <w:tr w:rsidR="000527BE" w:rsidRPr="00030C88" w:rsidTr="00905547">
        <w:tc>
          <w:tcPr>
            <w:tcW w:w="152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527BE" w:rsidRPr="009C26E1" w:rsidRDefault="000527BE" w:rsidP="0090554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Maths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527BE" w:rsidRDefault="000527BE" w:rsidP="0090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53BE">
              <w:rPr>
                <w:rFonts w:ascii="Arial" w:hAnsi="Arial" w:cs="Arial"/>
                <w:b/>
                <w:bCs/>
                <w:sz w:val="16"/>
                <w:szCs w:val="16"/>
              </w:rPr>
              <w:t>Number</w:t>
            </w:r>
            <w:r w:rsidRPr="00030C88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Addition and subtraction (column method)</w:t>
            </w:r>
          </w:p>
          <w:p w:rsidR="000527BE" w:rsidRPr="00030C88" w:rsidRDefault="000527BE" w:rsidP="0090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53BE">
              <w:rPr>
                <w:rFonts w:ascii="Arial" w:hAnsi="Arial" w:cs="Arial"/>
                <w:b/>
                <w:bCs/>
                <w:sz w:val="16"/>
                <w:szCs w:val="16"/>
              </w:rPr>
              <w:t>Number</w:t>
            </w:r>
            <w:r w:rsidRPr="00030C88"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Cs/>
                <w:sz w:val="16"/>
                <w:szCs w:val="16"/>
              </w:rPr>
              <w:t>Multiplication and division (arrays and number lines)</w:t>
            </w:r>
          </w:p>
          <w:p w:rsidR="000527BE" w:rsidRPr="00030C88" w:rsidRDefault="000527BE" w:rsidP="0090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53BE">
              <w:rPr>
                <w:rFonts w:ascii="Arial" w:hAnsi="Arial" w:cs="Arial"/>
                <w:b/>
                <w:bCs/>
                <w:sz w:val="16"/>
                <w:szCs w:val="16"/>
              </w:rPr>
              <w:t>Reasoning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word problems with a focus</w:t>
            </w:r>
            <w:r w:rsidR="006171D8">
              <w:rPr>
                <w:rFonts w:ascii="Arial" w:hAnsi="Arial" w:cs="Arial"/>
                <w:bCs/>
                <w:sz w:val="16"/>
                <w:szCs w:val="16"/>
              </w:rPr>
              <w:t xml:space="preserve"> on two and three step problems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527BE" w:rsidRDefault="000527BE" w:rsidP="0090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53BE">
              <w:rPr>
                <w:rFonts w:ascii="Arial" w:hAnsi="Arial" w:cs="Arial"/>
                <w:b/>
                <w:bCs/>
                <w:sz w:val="16"/>
                <w:szCs w:val="16"/>
              </w:rPr>
              <w:t>Money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addition and finding change – real life word problems.</w:t>
            </w:r>
          </w:p>
          <w:p w:rsidR="000527BE" w:rsidRDefault="000527BE" w:rsidP="0090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253BE"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telling time to half past, quarter past and quarter to (challenge for 5minute intervals)</w:t>
            </w:r>
          </w:p>
          <w:p w:rsidR="006171D8" w:rsidRPr="00030C88" w:rsidRDefault="006171D8" w:rsidP="0090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171D8">
              <w:rPr>
                <w:rFonts w:ascii="Arial" w:hAnsi="Arial" w:cs="Arial"/>
                <w:b/>
                <w:bCs/>
                <w:sz w:val="16"/>
                <w:szCs w:val="16"/>
              </w:rPr>
              <w:t>Number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Missing number problems and inverse operations</w:t>
            </w:r>
          </w:p>
        </w:tc>
      </w:tr>
      <w:tr w:rsidR="000527BE" w:rsidRPr="00030C88" w:rsidTr="00905547">
        <w:trPr>
          <w:trHeight w:val="203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527BE" w:rsidRPr="009C26E1" w:rsidRDefault="000527BE" w:rsidP="0090554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Science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527BE" w:rsidRPr="00E05214" w:rsidRDefault="00113E5D" w:rsidP="00905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Human Body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527BE" w:rsidRPr="00E05214" w:rsidRDefault="00113E5D" w:rsidP="00905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Plants</w:t>
            </w:r>
          </w:p>
        </w:tc>
      </w:tr>
      <w:tr w:rsidR="000527BE" w:rsidRPr="00030C88" w:rsidTr="00113E5D">
        <w:tc>
          <w:tcPr>
            <w:tcW w:w="15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527BE" w:rsidRPr="009C26E1" w:rsidRDefault="000527BE" w:rsidP="0090554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Geography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527BE" w:rsidRPr="00030C88" w:rsidRDefault="00113E5D" w:rsidP="00507B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527BE" w:rsidRPr="00113E5D" w:rsidRDefault="00507B18" w:rsidP="00507B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children will use atlases to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locate different countries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where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unusual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plants grow.</w:t>
            </w:r>
          </w:p>
        </w:tc>
      </w:tr>
      <w:tr w:rsidR="000527BE" w:rsidRPr="00030C88" w:rsidTr="00905547">
        <w:tc>
          <w:tcPr>
            <w:tcW w:w="152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527BE" w:rsidRPr="009C26E1" w:rsidRDefault="000527BE" w:rsidP="0090554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History</w:t>
            </w:r>
          </w:p>
        </w:tc>
        <w:tc>
          <w:tcPr>
            <w:tcW w:w="14317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527BE" w:rsidRDefault="000527BE" w:rsidP="009055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46D">
              <w:rPr>
                <w:rFonts w:ascii="Arial" w:hAnsi="Arial" w:cs="Arial"/>
                <w:b/>
                <w:color w:val="000000"/>
                <w:sz w:val="16"/>
                <w:szCs w:val="16"/>
              </w:rPr>
              <w:t>Significant Historical Figure</w:t>
            </w:r>
            <w:r w:rsidRPr="00030C88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Isambard Kingdom Brunel and George Mallory</w:t>
            </w:r>
          </w:p>
          <w:p w:rsidR="000527BE" w:rsidRPr="00030C88" w:rsidRDefault="000527BE" w:rsidP="009055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Buildings in the past and present – </w:t>
            </w:r>
            <w:r w:rsidRPr="0063248A">
              <w:rPr>
                <w:rFonts w:ascii="Arial" w:hAnsi="Arial" w:cs="Arial"/>
                <w:color w:val="000000"/>
                <w:sz w:val="16"/>
                <w:szCs w:val="16"/>
              </w:rPr>
              <w:t xml:space="preserve">The class will look at and compare similarities and differences between buildings and bridges through the ages.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The children will also create a timeline of castles</w:t>
            </w:r>
          </w:p>
        </w:tc>
      </w:tr>
      <w:tr w:rsidR="000527BE" w:rsidRPr="00030C88" w:rsidTr="00905547">
        <w:trPr>
          <w:trHeight w:val="519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527BE" w:rsidRPr="009C26E1" w:rsidRDefault="000527BE" w:rsidP="0090554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 xml:space="preserve">Computing </w:t>
            </w:r>
          </w:p>
        </w:tc>
        <w:tc>
          <w:tcPr>
            <w:tcW w:w="14317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527BE" w:rsidRDefault="000527BE" w:rsidP="00905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646D">
              <w:rPr>
                <w:rFonts w:ascii="Arial" w:hAnsi="Arial" w:cs="Arial"/>
                <w:b/>
                <w:sz w:val="16"/>
                <w:szCs w:val="16"/>
              </w:rPr>
              <w:t xml:space="preserve">Switched on computing curriculum </w:t>
            </w:r>
          </w:p>
          <w:p w:rsidR="000527BE" w:rsidRPr="0042646D" w:rsidRDefault="000527BE" w:rsidP="00905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Coding, algorithms, making music, taking and editing photographs and making short stop motion animations.</w:t>
            </w:r>
          </w:p>
        </w:tc>
      </w:tr>
      <w:tr w:rsidR="000527BE" w:rsidRPr="00030C88" w:rsidTr="00905547">
        <w:trPr>
          <w:trHeight w:val="2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527BE" w:rsidRPr="009C26E1" w:rsidRDefault="000527BE" w:rsidP="0090554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RE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527BE" w:rsidRPr="00030C88" w:rsidRDefault="000527BE" w:rsidP="009055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t>Christianity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527BE" w:rsidRPr="00030C88" w:rsidRDefault="000527BE" w:rsidP="009055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t>Christianity</w:t>
            </w:r>
          </w:p>
        </w:tc>
      </w:tr>
      <w:tr w:rsidR="000527BE" w:rsidRPr="00030C88" w:rsidTr="00905547">
        <w:tc>
          <w:tcPr>
            <w:tcW w:w="152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527BE" w:rsidRPr="009C26E1" w:rsidRDefault="000527BE" w:rsidP="0090554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PSHE/P4C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527BE" w:rsidRPr="009C26E1" w:rsidRDefault="000527BE" w:rsidP="009055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Relationships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527BE" w:rsidRPr="009C26E1" w:rsidRDefault="000527BE" w:rsidP="009055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Changes</w:t>
            </w:r>
          </w:p>
        </w:tc>
      </w:tr>
      <w:tr w:rsidR="000527BE" w:rsidRPr="00030C88" w:rsidTr="00905547">
        <w:trPr>
          <w:trHeight w:val="43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527BE" w:rsidRPr="009C26E1" w:rsidRDefault="000527BE" w:rsidP="0090554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Art</w:t>
            </w:r>
            <w:r w:rsidR="00566ABE">
              <w:rPr>
                <w:rFonts w:ascii="Arial" w:hAnsi="Arial" w:cs="Arial"/>
                <w:b/>
                <w:i/>
                <w:sz w:val="18"/>
                <w:szCs w:val="16"/>
              </w:rPr>
              <w:t xml:space="preserve"> and D&amp;T</w:t>
            </w:r>
          </w:p>
        </w:tc>
        <w:tc>
          <w:tcPr>
            <w:tcW w:w="14317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527BE" w:rsidRPr="00030C88" w:rsidRDefault="00566ABE" w:rsidP="00566AB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ABE">
              <w:rPr>
                <w:rFonts w:ascii="Arial" w:hAnsi="Arial" w:cs="Arial"/>
                <w:b/>
                <w:sz w:val="16"/>
                <w:szCs w:val="16"/>
              </w:rPr>
              <w:t>Muck, Mess and Mixtures</w:t>
            </w:r>
            <w:r>
              <w:rPr>
                <w:rFonts w:ascii="Arial" w:hAnsi="Arial" w:cs="Arial"/>
                <w:sz w:val="16"/>
                <w:szCs w:val="16"/>
              </w:rPr>
              <w:t xml:space="preserve"> – the children will make slime and potions in class.  They will also create mixed media and collage art.</w:t>
            </w:r>
            <w:bookmarkStart w:id="0" w:name="_GoBack"/>
            <w:bookmarkEnd w:id="0"/>
          </w:p>
        </w:tc>
      </w:tr>
      <w:tr w:rsidR="000527BE" w:rsidRPr="00030C88" w:rsidTr="00905547">
        <w:trPr>
          <w:trHeight w:val="25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527BE" w:rsidRPr="009C26E1" w:rsidRDefault="000527BE" w:rsidP="0090554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Music</w:t>
            </w:r>
          </w:p>
        </w:tc>
        <w:tc>
          <w:tcPr>
            <w:tcW w:w="14317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527BE" w:rsidRPr="00030C88" w:rsidRDefault="000527BE" w:rsidP="000527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children will be learning songs linked to our topic ‘</w:t>
            </w:r>
            <w:r>
              <w:rPr>
                <w:rFonts w:ascii="Arial" w:hAnsi="Arial" w:cs="Arial"/>
                <w:sz w:val="16"/>
                <w:szCs w:val="16"/>
              </w:rPr>
              <w:t xml:space="preserve">Muck, Mess and Mixtures’.  They will also continue to learn how to play kazoos.  </w:t>
            </w:r>
            <w:r>
              <w:rPr>
                <w:rFonts w:ascii="Arial" w:hAnsi="Arial" w:cs="Arial"/>
                <w:sz w:val="16"/>
                <w:szCs w:val="16"/>
              </w:rPr>
              <w:t xml:space="preserve">Music is taught by Mrs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Eadie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on a Thursday morning.</w:t>
            </w:r>
          </w:p>
        </w:tc>
      </w:tr>
      <w:tr w:rsidR="000527BE" w:rsidRPr="00030C88" w:rsidTr="00905547">
        <w:tc>
          <w:tcPr>
            <w:tcW w:w="1526" w:type="dxa"/>
            <w:shd w:val="clear" w:color="auto" w:fill="D6E3BC" w:themeFill="accent3" w:themeFillTint="66"/>
            <w:vAlign w:val="center"/>
          </w:tcPr>
          <w:p w:rsidR="000527BE" w:rsidRPr="009C26E1" w:rsidRDefault="000527BE" w:rsidP="0090554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PE</w:t>
            </w:r>
          </w:p>
        </w:tc>
        <w:tc>
          <w:tcPr>
            <w:tcW w:w="14317" w:type="dxa"/>
            <w:gridSpan w:val="3"/>
            <w:shd w:val="clear" w:color="auto" w:fill="D6E3BC" w:themeFill="accent3" w:themeFillTint="66"/>
          </w:tcPr>
          <w:p w:rsidR="000527BE" w:rsidRDefault="000527BE" w:rsidP="00905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Gymnastics will be taught every </w:t>
            </w:r>
            <w:r>
              <w:rPr>
                <w:rFonts w:ascii="Arial" w:hAnsi="Arial" w:cs="Arial"/>
                <w:sz w:val="16"/>
                <w:szCs w:val="16"/>
              </w:rPr>
              <w:t xml:space="preserve">Wednesday afternoon this term by Mrs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Bentzien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527BE" w:rsidRDefault="000527BE" w:rsidP="002355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Games will be taught on a Thursday morning by Mrs Thomas-Wade.</w:t>
            </w:r>
          </w:p>
          <w:p w:rsidR="000527BE" w:rsidRPr="00030C88" w:rsidRDefault="000527BE" w:rsidP="00905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5721" w:rsidRDefault="00265721"/>
    <w:sectPr w:rsidR="00265721" w:rsidSect="007A7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F16"/>
    <w:multiLevelType w:val="hybridMultilevel"/>
    <w:tmpl w:val="89BC6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42D1"/>
    <w:multiLevelType w:val="hybridMultilevel"/>
    <w:tmpl w:val="2494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3595F"/>
    <w:multiLevelType w:val="hybridMultilevel"/>
    <w:tmpl w:val="88BC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BE"/>
    <w:rsid w:val="000527BE"/>
    <w:rsid w:val="00113E5D"/>
    <w:rsid w:val="0017087B"/>
    <w:rsid w:val="0023559E"/>
    <w:rsid w:val="00265721"/>
    <w:rsid w:val="004D4067"/>
    <w:rsid w:val="00507B18"/>
    <w:rsid w:val="00566ABE"/>
    <w:rsid w:val="006171D8"/>
    <w:rsid w:val="00865FAD"/>
    <w:rsid w:val="00AD1167"/>
    <w:rsid w:val="00B465AD"/>
    <w:rsid w:val="00F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clightfoot</dc:creator>
  <cp:lastModifiedBy>clightfoot</cp:lastModifiedBy>
  <cp:revision>9</cp:revision>
  <dcterms:created xsi:type="dcterms:W3CDTF">2018-03-29T09:28:00Z</dcterms:created>
  <dcterms:modified xsi:type="dcterms:W3CDTF">2018-03-29T10:05:00Z</dcterms:modified>
</cp:coreProperties>
</file>